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D61" w:rsidRPr="007643A1" w:rsidRDefault="00E47D61" w:rsidP="00E47D61">
      <w:pPr>
        <w:jc w:val="right"/>
        <w:rPr>
          <w:rFonts w:cs="Arial"/>
          <w:b/>
          <w:sz w:val="28"/>
          <w:szCs w:val="28"/>
        </w:rPr>
      </w:pPr>
      <w:bookmarkStart w:id="0" w:name="_GoBack"/>
      <w:bookmarkEnd w:id="0"/>
      <w:r w:rsidRPr="007643A1">
        <w:rPr>
          <w:rFonts w:cs="Arial"/>
          <w:b/>
          <w:sz w:val="28"/>
          <w:szCs w:val="28"/>
        </w:rPr>
        <w:t>Mérida, Yucatán</w:t>
      </w:r>
      <w:r w:rsidR="00732157">
        <w:rPr>
          <w:rFonts w:cs="Arial"/>
          <w:b/>
          <w:sz w:val="28"/>
          <w:szCs w:val="28"/>
        </w:rPr>
        <w:t>,</w:t>
      </w:r>
      <w:r w:rsidRPr="007643A1">
        <w:rPr>
          <w:rFonts w:cs="Arial"/>
          <w:b/>
          <w:sz w:val="28"/>
          <w:szCs w:val="28"/>
        </w:rPr>
        <w:t xml:space="preserve"> a </w:t>
      </w:r>
      <w:r w:rsidR="005B2887">
        <w:rPr>
          <w:rFonts w:cs="Arial"/>
          <w:b/>
          <w:sz w:val="28"/>
          <w:szCs w:val="28"/>
        </w:rPr>
        <w:t xml:space="preserve"> </w:t>
      </w:r>
      <w:r w:rsidR="00DF179D">
        <w:rPr>
          <w:rFonts w:cs="Arial"/>
          <w:b/>
          <w:sz w:val="28"/>
          <w:szCs w:val="28"/>
        </w:rPr>
        <w:t>09</w:t>
      </w:r>
      <w:r w:rsidRPr="007643A1">
        <w:rPr>
          <w:rFonts w:cs="Arial"/>
          <w:b/>
          <w:sz w:val="28"/>
          <w:szCs w:val="28"/>
        </w:rPr>
        <w:t xml:space="preserve"> de </w:t>
      </w:r>
      <w:r w:rsidR="00DF179D">
        <w:rPr>
          <w:rFonts w:cs="Arial"/>
          <w:b/>
          <w:sz w:val="28"/>
          <w:szCs w:val="28"/>
        </w:rPr>
        <w:t>Septiembre</w:t>
      </w:r>
      <w:r w:rsidR="006F27E9">
        <w:rPr>
          <w:rFonts w:cs="Arial"/>
          <w:b/>
          <w:sz w:val="28"/>
          <w:szCs w:val="28"/>
        </w:rPr>
        <w:t xml:space="preserve"> </w:t>
      </w:r>
      <w:r w:rsidRPr="007643A1">
        <w:rPr>
          <w:rFonts w:cs="Arial"/>
          <w:b/>
          <w:sz w:val="28"/>
          <w:szCs w:val="28"/>
        </w:rPr>
        <w:t>de 2020.</w:t>
      </w:r>
    </w:p>
    <w:p w:rsidR="00F06C61" w:rsidRPr="00E82835" w:rsidRDefault="00F06C61" w:rsidP="00F06C61">
      <w:pPr>
        <w:jc w:val="both"/>
        <w:rPr>
          <w:rFonts w:cs="Arial"/>
          <w:b/>
          <w:sz w:val="28"/>
          <w:szCs w:val="28"/>
        </w:rPr>
      </w:pPr>
    </w:p>
    <w:p w:rsidR="00F06C61" w:rsidRPr="00E82835" w:rsidRDefault="00F06C61" w:rsidP="00F06C61">
      <w:pPr>
        <w:jc w:val="both"/>
        <w:rPr>
          <w:rFonts w:cs="Arial"/>
          <w:b/>
          <w:sz w:val="28"/>
          <w:szCs w:val="28"/>
        </w:rPr>
      </w:pPr>
      <w:r w:rsidRPr="00E82835">
        <w:rPr>
          <w:rFonts w:cs="Arial"/>
          <w:b/>
          <w:sz w:val="28"/>
          <w:szCs w:val="28"/>
        </w:rPr>
        <w:t>H. CONGRESO DEL ESTADO DE YUCATÁN</w:t>
      </w:r>
    </w:p>
    <w:p w:rsidR="00F06C61" w:rsidRPr="00E82835" w:rsidRDefault="00F06C61" w:rsidP="00F06C61">
      <w:pPr>
        <w:jc w:val="both"/>
        <w:rPr>
          <w:rFonts w:cs="Arial"/>
          <w:b/>
          <w:sz w:val="28"/>
          <w:szCs w:val="28"/>
        </w:rPr>
      </w:pPr>
      <w:r w:rsidRPr="00E82835">
        <w:rPr>
          <w:rFonts w:cs="Arial"/>
          <w:b/>
          <w:sz w:val="28"/>
          <w:szCs w:val="28"/>
        </w:rPr>
        <w:t>PRESENTE.</w:t>
      </w:r>
    </w:p>
    <w:p w:rsidR="00F06C61" w:rsidRPr="00F06C61" w:rsidRDefault="00F06C61" w:rsidP="00F06C61">
      <w:pPr>
        <w:jc w:val="both"/>
        <w:rPr>
          <w:rFonts w:ascii="Arial" w:hAnsi="Arial" w:cs="Arial"/>
          <w:b/>
          <w:sz w:val="24"/>
          <w:szCs w:val="28"/>
        </w:rPr>
      </w:pPr>
    </w:p>
    <w:p w:rsidR="00A81CCD" w:rsidRDefault="00E47D61" w:rsidP="00A81CCD">
      <w:pPr>
        <w:spacing w:line="360" w:lineRule="auto"/>
        <w:jc w:val="both"/>
        <w:rPr>
          <w:rFonts w:cs="Arial"/>
          <w:sz w:val="28"/>
          <w:szCs w:val="28"/>
        </w:rPr>
      </w:pPr>
      <w:r w:rsidRPr="007643A1">
        <w:rPr>
          <w:rFonts w:cs="Arial"/>
          <w:sz w:val="28"/>
          <w:szCs w:val="28"/>
        </w:rPr>
        <w:t xml:space="preserve">Las que suscriben, Diputadas María de los Milagros Romero Bastarrachea y Silvia América López Escoffié, integrantes de la fracción parlamentaria de Movimiento Ciudadano en esta LXII Legislatura del H. Congreso del Estado de Yucatán; con fundamento en lo dispuesto por el artículo 35 fracción I de la Constitución Política del Estado de Yucatán, y para efectos de lo establecido en el artículo 30 la fracción V de la misma norma, en este acto presento al Pleno y a la Mesa Directiva, </w:t>
      </w:r>
      <w:r w:rsidRPr="007643A1">
        <w:rPr>
          <w:rStyle w:val="Textoennegrita"/>
          <w:rFonts w:cs="Arial"/>
          <w:sz w:val="28"/>
          <w:szCs w:val="28"/>
          <w:bdr w:val="none" w:sz="0" w:space="0" w:color="auto" w:frame="1"/>
          <w:shd w:val="clear" w:color="auto" w:fill="FFFFFF"/>
        </w:rPr>
        <w:t xml:space="preserve">Iniciativa con proyecto de Decreto por el que se </w:t>
      </w:r>
      <w:r w:rsidRPr="006C1F70">
        <w:rPr>
          <w:rStyle w:val="Textoennegrita"/>
          <w:rFonts w:cs="Arial"/>
          <w:sz w:val="28"/>
          <w:szCs w:val="28"/>
          <w:bdr w:val="none" w:sz="0" w:space="0" w:color="auto" w:frame="1"/>
          <w:shd w:val="clear" w:color="auto" w:fill="FFFFFF"/>
        </w:rPr>
        <w:t xml:space="preserve">reforman </w:t>
      </w:r>
      <w:r w:rsidR="006C1F70" w:rsidRPr="006C1F70">
        <w:rPr>
          <w:rFonts w:cs="Arial"/>
          <w:b/>
          <w:bCs/>
          <w:sz w:val="28"/>
          <w:szCs w:val="28"/>
        </w:rPr>
        <w:t>y adicionan</w:t>
      </w:r>
      <w:r w:rsidR="006C1F70">
        <w:rPr>
          <w:rFonts w:ascii="Arial" w:hAnsi="Arial" w:cs="Arial"/>
          <w:b/>
          <w:bCs/>
          <w:sz w:val="24"/>
          <w:szCs w:val="28"/>
        </w:rPr>
        <w:t xml:space="preserve"> </w:t>
      </w:r>
      <w:r w:rsidRPr="007643A1">
        <w:rPr>
          <w:rStyle w:val="Textoennegrita"/>
          <w:rFonts w:cs="Arial"/>
          <w:sz w:val="28"/>
          <w:szCs w:val="28"/>
          <w:bdr w:val="none" w:sz="0" w:space="0" w:color="auto" w:frame="1"/>
          <w:shd w:val="clear" w:color="auto" w:fill="FFFFFF"/>
        </w:rPr>
        <w:t>diversas disposiciones al Código Penal del Estado de Yucatán, en materia de Feminicidio</w:t>
      </w:r>
      <w:r w:rsidRPr="007643A1">
        <w:rPr>
          <w:rFonts w:cs="Arial"/>
          <w:sz w:val="28"/>
          <w:szCs w:val="28"/>
        </w:rPr>
        <w:t>; lo que realizamos de conformidad con la siguiente:</w:t>
      </w:r>
    </w:p>
    <w:p w:rsidR="003E2A0C" w:rsidRPr="007643A1" w:rsidRDefault="003E2A0C" w:rsidP="00A81CCD">
      <w:pPr>
        <w:spacing w:line="360" w:lineRule="auto"/>
        <w:jc w:val="both"/>
        <w:rPr>
          <w:rFonts w:cs="Arial"/>
          <w:sz w:val="28"/>
          <w:szCs w:val="28"/>
        </w:rPr>
      </w:pPr>
    </w:p>
    <w:p w:rsidR="00E47D61" w:rsidRPr="007643A1" w:rsidRDefault="00E47D61" w:rsidP="00E47D61">
      <w:pPr>
        <w:jc w:val="center"/>
        <w:rPr>
          <w:rFonts w:cs="Arial"/>
          <w:b/>
          <w:sz w:val="28"/>
          <w:szCs w:val="28"/>
        </w:rPr>
      </w:pPr>
      <w:r w:rsidRPr="007643A1">
        <w:rPr>
          <w:rFonts w:cs="Arial"/>
          <w:b/>
          <w:sz w:val="28"/>
          <w:szCs w:val="28"/>
        </w:rPr>
        <w:t>EXPOSICIÓN DE MOTIVOS</w:t>
      </w:r>
    </w:p>
    <w:p w:rsidR="00147F76" w:rsidRDefault="00147F76" w:rsidP="006A1AFF"/>
    <w:p w:rsidR="00A81CCD" w:rsidRPr="0010458A" w:rsidRDefault="006A1AFF" w:rsidP="00E34762">
      <w:pPr>
        <w:spacing w:line="360" w:lineRule="auto"/>
        <w:jc w:val="both"/>
        <w:rPr>
          <w:sz w:val="28"/>
          <w:szCs w:val="28"/>
        </w:rPr>
      </w:pPr>
      <w:r w:rsidRPr="0010458A">
        <w:rPr>
          <w:sz w:val="28"/>
          <w:szCs w:val="28"/>
        </w:rPr>
        <w:t xml:space="preserve"> </w:t>
      </w:r>
      <w:r w:rsidRPr="0010458A">
        <w:rPr>
          <w:rStyle w:val="A2"/>
          <w:sz w:val="28"/>
          <w:szCs w:val="28"/>
        </w:rPr>
        <w:t>La violencia contra las mujeres y las niñas es una de las violaciones de los derechos humanos más graves, extendida, arraigada y tolerada en el mundo. Esta vio</w:t>
      </w:r>
      <w:r w:rsidRPr="0010458A">
        <w:rPr>
          <w:rStyle w:val="A2"/>
          <w:sz w:val="28"/>
          <w:szCs w:val="28"/>
        </w:rPr>
        <w:softHyphen/>
        <w:t>lencia es consecuencia de la des</w:t>
      </w:r>
      <w:r w:rsidRPr="0010458A">
        <w:rPr>
          <w:rStyle w:val="A2"/>
          <w:sz w:val="28"/>
          <w:szCs w:val="28"/>
        </w:rPr>
        <w:softHyphen/>
        <w:t>igualdad y</w:t>
      </w:r>
      <w:r w:rsidR="00DF179D">
        <w:rPr>
          <w:rStyle w:val="A2"/>
          <w:sz w:val="28"/>
          <w:szCs w:val="28"/>
        </w:rPr>
        <w:t xml:space="preserve"> de la discriminación de </w:t>
      </w:r>
      <w:r w:rsidR="00DF179D">
        <w:rPr>
          <w:rStyle w:val="A2"/>
          <w:sz w:val="28"/>
          <w:szCs w:val="28"/>
        </w:rPr>
        <w:lastRenderedPageBreak/>
        <w:t>género, nacida de un sistema machista que impera en nuestra sociedad mexicana.</w:t>
      </w:r>
    </w:p>
    <w:p w:rsidR="00147F76" w:rsidRPr="0010458A" w:rsidRDefault="00DE26CB" w:rsidP="00E34762">
      <w:pPr>
        <w:pStyle w:val="fonttertiary"/>
        <w:spacing w:before="0" w:beforeAutospacing="0" w:after="450" w:afterAutospacing="0" w:line="360" w:lineRule="auto"/>
        <w:jc w:val="both"/>
        <w:rPr>
          <w:rFonts w:asciiTheme="minorHAnsi" w:hAnsiTheme="minorHAnsi" w:cs="Arial"/>
          <w:color w:val="000000"/>
          <w:sz w:val="28"/>
          <w:szCs w:val="28"/>
        </w:rPr>
      </w:pPr>
      <w:r w:rsidRPr="0010458A">
        <w:rPr>
          <w:rFonts w:asciiTheme="minorHAnsi" w:hAnsiTheme="minorHAnsi" w:cs="Arial"/>
          <w:color w:val="000000"/>
          <w:sz w:val="28"/>
          <w:szCs w:val="28"/>
        </w:rPr>
        <w:t>Ante la situación actual que estamos viviendo, l</w:t>
      </w:r>
      <w:r w:rsidR="00147F76" w:rsidRPr="0010458A">
        <w:rPr>
          <w:rFonts w:asciiTheme="minorHAnsi" w:hAnsiTheme="minorHAnsi" w:cs="Arial"/>
          <w:color w:val="000000"/>
          <w:sz w:val="28"/>
          <w:szCs w:val="28"/>
        </w:rPr>
        <w:t>as medidas de confinamiento que han adoptado gobiernos en América Latina </w:t>
      </w:r>
      <w:r w:rsidR="00147F76" w:rsidRPr="0010458A">
        <w:rPr>
          <w:rFonts w:asciiTheme="minorHAnsi" w:hAnsiTheme="minorHAnsi" w:cs="Arial"/>
          <w:bCs/>
          <w:color w:val="000000"/>
          <w:sz w:val="28"/>
          <w:szCs w:val="28"/>
        </w:rPr>
        <w:t>para evitar la propagación de COVID-19</w:t>
      </w:r>
      <w:r w:rsidR="00DF179D">
        <w:rPr>
          <w:rFonts w:asciiTheme="minorHAnsi" w:hAnsiTheme="minorHAnsi" w:cs="Arial"/>
          <w:bCs/>
          <w:color w:val="000000"/>
          <w:sz w:val="28"/>
          <w:szCs w:val="28"/>
        </w:rPr>
        <w:t>, si bien</w:t>
      </w:r>
      <w:r w:rsidR="00147F76" w:rsidRPr="0010458A">
        <w:rPr>
          <w:rFonts w:asciiTheme="minorHAnsi" w:hAnsiTheme="minorHAnsi" w:cs="Arial"/>
          <w:color w:val="000000"/>
          <w:sz w:val="28"/>
          <w:szCs w:val="28"/>
        </w:rPr>
        <w:t> han favorecido a la disminución de niveles de violencia y homicidios en </w:t>
      </w:r>
      <w:r w:rsidR="00147F76" w:rsidRPr="0010458A">
        <w:rPr>
          <w:rFonts w:asciiTheme="minorHAnsi" w:hAnsiTheme="minorHAnsi" w:cs="Arial"/>
          <w:bCs/>
          <w:color w:val="000000"/>
          <w:sz w:val="28"/>
          <w:szCs w:val="28"/>
        </w:rPr>
        <w:t>algunos</w:t>
      </w:r>
      <w:r w:rsidR="00147F76" w:rsidRPr="0010458A">
        <w:rPr>
          <w:rFonts w:asciiTheme="minorHAnsi" w:hAnsiTheme="minorHAnsi" w:cs="Arial"/>
          <w:color w:val="000000"/>
          <w:sz w:val="28"/>
          <w:szCs w:val="28"/>
        </w:rPr>
        <w:t> países.</w:t>
      </w:r>
    </w:p>
    <w:p w:rsidR="00DE26CB" w:rsidRPr="00F245AC" w:rsidRDefault="00DF179D" w:rsidP="00E34762">
      <w:pPr>
        <w:pStyle w:val="fonttertiary"/>
        <w:spacing w:before="0" w:beforeAutospacing="0" w:after="450" w:afterAutospacing="0" w:line="360" w:lineRule="auto"/>
        <w:jc w:val="both"/>
        <w:rPr>
          <w:rFonts w:asciiTheme="minorHAnsi" w:hAnsiTheme="minorHAnsi" w:cs="Arial"/>
          <w:color w:val="000000"/>
          <w:sz w:val="28"/>
          <w:szCs w:val="28"/>
        </w:rPr>
      </w:pPr>
      <w:r>
        <w:rPr>
          <w:rFonts w:asciiTheme="minorHAnsi" w:hAnsiTheme="minorHAnsi" w:cs="Arial"/>
          <w:color w:val="000000"/>
          <w:sz w:val="28"/>
          <w:szCs w:val="28"/>
        </w:rPr>
        <w:t>La realidad es que en nuestro país la realidad es otra, por su parte</w:t>
      </w:r>
      <w:r w:rsidR="00147F76" w:rsidRPr="00F245AC">
        <w:rPr>
          <w:rFonts w:asciiTheme="minorHAnsi" w:hAnsiTheme="minorHAnsi" w:cs="Arial"/>
          <w:color w:val="000000"/>
          <w:sz w:val="28"/>
          <w:szCs w:val="28"/>
        </w:rPr>
        <w:t> </w:t>
      </w:r>
      <w:r w:rsidR="00147F76" w:rsidRPr="00F245AC">
        <w:rPr>
          <w:rFonts w:asciiTheme="minorHAnsi" w:hAnsiTheme="minorHAnsi" w:cs="Arial"/>
          <w:bCs/>
          <w:color w:val="000000"/>
          <w:sz w:val="28"/>
          <w:szCs w:val="28"/>
        </w:rPr>
        <w:t>la violencia en contra de la mujer</w:t>
      </w:r>
      <w:r>
        <w:rPr>
          <w:rFonts w:asciiTheme="minorHAnsi" w:hAnsiTheme="minorHAnsi" w:cs="Arial"/>
          <w:bCs/>
          <w:color w:val="000000"/>
          <w:sz w:val="28"/>
          <w:szCs w:val="28"/>
        </w:rPr>
        <w:t>, ha</w:t>
      </w:r>
      <w:r w:rsidR="00147F76" w:rsidRPr="00F245AC">
        <w:rPr>
          <w:rFonts w:asciiTheme="minorHAnsi" w:hAnsiTheme="minorHAnsi" w:cs="Arial"/>
          <w:bCs/>
          <w:color w:val="000000"/>
          <w:sz w:val="28"/>
          <w:szCs w:val="28"/>
        </w:rPr>
        <w:t xml:space="preserve"> empeorado en toda la región del continente</w:t>
      </w:r>
      <w:r w:rsidR="00147F76" w:rsidRPr="00F245AC">
        <w:rPr>
          <w:rFonts w:asciiTheme="minorHAnsi" w:hAnsiTheme="minorHAnsi" w:cs="Arial"/>
          <w:color w:val="000000"/>
          <w:sz w:val="28"/>
          <w:szCs w:val="28"/>
        </w:rPr>
        <w:t>: México es uno de los </w:t>
      </w:r>
      <w:r w:rsidR="00147F76" w:rsidRPr="00F245AC">
        <w:rPr>
          <w:rFonts w:asciiTheme="minorHAnsi" w:hAnsiTheme="minorHAnsi" w:cs="Arial"/>
          <w:bCs/>
          <w:color w:val="000000"/>
          <w:sz w:val="28"/>
          <w:szCs w:val="28"/>
        </w:rPr>
        <w:t>epicentros</w:t>
      </w:r>
      <w:r>
        <w:rPr>
          <w:rFonts w:asciiTheme="minorHAnsi" w:hAnsiTheme="minorHAnsi" w:cs="Arial"/>
          <w:bCs/>
          <w:color w:val="000000"/>
          <w:sz w:val="28"/>
          <w:szCs w:val="28"/>
        </w:rPr>
        <w:t xml:space="preserve"> más graves</w:t>
      </w:r>
      <w:r w:rsidR="00147F76" w:rsidRPr="00F245AC">
        <w:rPr>
          <w:rFonts w:asciiTheme="minorHAnsi" w:hAnsiTheme="minorHAnsi" w:cs="Arial"/>
          <w:color w:val="000000"/>
          <w:sz w:val="28"/>
          <w:szCs w:val="28"/>
        </w:rPr>
        <w:t> de</w:t>
      </w:r>
      <w:r>
        <w:rPr>
          <w:rFonts w:asciiTheme="minorHAnsi" w:hAnsiTheme="minorHAnsi" w:cs="Arial"/>
          <w:color w:val="000000"/>
          <w:sz w:val="28"/>
          <w:szCs w:val="28"/>
        </w:rPr>
        <w:t xml:space="preserve"> la</w:t>
      </w:r>
      <w:r w:rsidR="00147F76" w:rsidRPr="00F245AC">
        <w:rPr>
          <w:rFonts w:asciiTheme="minorHAnsi" w:hAnsiTheme="minorHAnsi" w:cs="Arial"/>
          <w:color w:val="000000"/>
          <w:sz w:val="28"/>
          <w:szCs w:val="28"/>
        </w:rPr>
        <w:t xml:space="preserve"> violencia de género. </w:t>
      </w:r>
    </w:p>
    <w:p w:rsidR="00C83B72" w:rsidRDefault="00FD273D" w:rsidP="006C7232">
      <w:pPr>
        <w:pStyle w:val="fonttertiary"/>
        <w:spacing w:before="0" w:beforeAutospacing="0" w:after="450" w:afterAutospacing="0" w:line="360" w:lineRule="auto"/>
        <w:jc w:val="both"/>
        <w:rPr>
          <w:rFonts w:asciiTheme="minorHAnsi" w:hAnsiTheme="minorHAnsi" w:cs="Arial"/>
          <w:color w:val="000000"/>
          <w:sz w:val="28"/>
          <w:szCs w:val="28"/>
        </w:rPr>
      </w:pPr>
      <w:r>
        <w:rPr>
          <w:rFonts w:asciiTheme="minorHAnsi" w:hAnsiTheme="minorHAnsi" w:cs="Arial"/>
          <w:color w:val="000000"/>
          <w:sz w:val="28"/>
          <w:szCs w:val="28"/>
        </w:rPr>
        <w:t xml:space="preserve">De acuerdo </w:t>
      </w:r>
      <w:r w:rsidR="00FB35F0">
        <w:rPr>
          <w:rFonts w:asciiTheme="minorHAnsi" w:hAnsiTheme="minorHAnsi" w:cs="Arial"/>
          <w:color w:val="000000"/>
          <w:sz w:val="28"/>
          <w:szCs w:val="28"/>
        </w:rPr>
        <w:t>con</w:t>
      </w:r>
      <w:r>
        <w:rPr>
          <w:rFonts w:asciiTheme="minorHAnsi" w:hAnsiTheme="minorHAnsi" w:cs="Arial"/>
          <w:color w:val="000000"/>
          <w:sz w:val="28"/>
          <w:szCs w:val="28"/>
        </w:rPr>
        <w:t xml:space="preserve"> </w:t>
      </w:r>
      <w:r w:rsidR="00CF533F">
        <w:rPr>
          <w:rFonts w:asciiTheme="minorHAnsi" w:hAnsiTheme="minorHAnsi" w:cs="Arial"/>
          <w:color w:val="000000"/>
          <w:sz w:val="28"/>
          <w:szCs w:val="28"/>
        </w:rPr>
        <w:t xml:space="preserve">cifras del Secretariado Ejecutivo del </w:t>
      </w:r>
      <w:r w:rsidR="00CF533F" w:rsidRPr="00F245AC">
        <w:rPr>
          <w:rFonts w:asciiTheme="minorHAnsi" w:hAnsiTheme="minorHAnsi" w:cs="Arial"/>
          <w:color w:val="000000"/>
          <w:sz w:val="28"/>
          <w:szCs w:val="28"/>
        </w:rPr>
        <w:t>Sistema Nacional de Seguridad Pública</w:t>
      </w:r>
      <w:r w:rsidR="0000425B">
        <w:rPr>
          <w:rFonts w:asciiTheme="minorHAnsi" w:hAnsiTheme="minorHAnsi" w:cs="Arial"/>
          <w:color w:val="000000"/>
          <w:sz w:val="28"/>
          <w:szCs w:val="28"/>
        </w:rPr>
        <w:t>,</w:t>
      </w:r>
      <w:r w:rsidR="006C7232">
        <w:rPr>
          <w:rFonts w:asciiTheme="minorHAnsi" w:hAnsiTheme="minorHAnsi" w:cs="Arial"/>
          <w:color w:val="000000"/>
          <w:sz w:val="28"/>
          <w:szCs w:val="28"/>
        </w:rPr>
        <w:t xml:space="preserve"> en el año 2015 se registraron 411 feminicidios, en el año 2016 fueron 605 casos, el 2017 cerró con un total de 741 feminicidios, mientras que en 2018 se registraron 891 feminicidios, en 2019 tuvo un incremento de 945 feminicidios que el año anterior, </w:t>
      </w:r>
      <w:r w:rsidR="00BC29EC">
        <w:rPr>
          <w:rFonts w:asciiTheme="minorHAnsi" w:hAnsiTheme="minorHAnsi" w:cs="Arial"/>
          <w:color w:val="000000"/>
          <w:sz w:val="28"/>
          <w:szCs w:val="28"/>
        </w:rPr>
        <w:t xml:space="preserve">y por lo que respecta de Enero a Julio del año 2020 ya se han registrado 549 feminicidios en nuestro País, </w:t>
      </w:r>
      <w:r w:rsidR="00BC29EC" w:rsidRPr="00F245AC">
        <w:rPr>
          <w:rFonts w:asciiTheme="minorHAnsi" w:hAnsiTheme="minorHAnsi" w:cs="Arial"/>
          <w:color w:val="000000"/>
          <w:sz w:val="28"/>
          <w:szCs w:val="28"/>
        </w:rPr>
        <w:t xml:space="preserve">lo cual prueba que las </w:t>
      </w:r>
      <w:r w:rsidR="00BC29EC">
        <w:rPr>
          <w:rFonts w:asciiTheme="minorHAnsi" w:hAnsiTheme="minorHAnsi" w:cs="Arial"/>
          <w:color w:val="000000"/>
          <w:sz w:val="28"/>
          <w:szCs w:val="28"/>
        </w:rPr>
        <w:t>medidas de confinamiento social</w:t>
      </w:r>
      <w:r w:rsidR="00BC29EC">
        <w:rPr>
          <w:rFonts w:asciiTheme="minorHAnsi" w:hAnsiTheme="minorHAnsi" w:cs="Arial"/>
          <w:bCs/>
          <w:color w:val="000000"/>
          <w:sz w:val="28"/>
          <w:szCs w:val="28"/>
        </w:rPr>
        <w:t xml:space="preserve"> con motivo a la pandemia no</w:t>
      </w:r>
      <w:r w:rsidR="00BC29EC" w:rsidRPr="00F245AC">
        <w:rPr>
          <w:rFonts w:asciiTheme="minorHAnsi" w:hAnsiTheme="minorHAnsi" w:cs="Arial"/>
          <w:bCs/>
          <w:color w:val="000000"/>
          <w:sz w:val="28"/>
          <w:szCs w:val="28"/>
        </w:rPr>
        <w:t xml:space="preserve"> han auxiliado para reducir</w:t>
      </w:r>
      <w:r w:rsidR="00BC29EC" w:rsidRPr="00F245AC">
        <w:rPr>
          <w:rFonts w:asciiTheme="minorHAnsi" w:hAnsiTheme="minorHAnsi" w:cs="Arial"/>
          <w:color w:val="000000"/>
          <w:sz w:val="28"/>
          <w:szCs w:val="28"/>
        </w:rPr>
        <w:t> este tipo de violencia.</w:t>
      </w:r>
      <w:r w:rsidR="00BC29EC">
        <w:rPr>
          <w:rFonts w:asciiTheme="minorHAnsi" w:hAnsiTheme="minorHAnsi" w:cs="Arial"/>
          <w:color w:val="000000"/>
          <w:sz w:val="28"/>
          <w:szCs w:val="28"/>
        </w:rPr>
        <w:t xml:space="preserve"> </w:t>
      </w:r>
      <w:r w:rsidR="006C7232">
        <w:rPr>
          <w:rFonts w:asciiTheme="minorHAnsi" w:hAnsiTheme="minorHAnsi" w:cs="Arial"/>
          <w:color w:val="000000"/>
          <w:sz w:val="28"/>
          <w:szCs w:val="28"/>
        </w:rPr>
        <w:t xml:space="preserve"> </w:t>
      </w:r>
    </w:p>
    <w:p w:rsidR="00BC29EC" w:rsidRDefault="006C7232" w:rsidP="0011623D">
      <w:pPr>
        <w:pStyle w:val="fonttertiary"/>
        <w:spacing w:before="0" w:beforeAutospacing="0" w:after="450" w:afterAutospacing="0" w:line="360" w:lineRule="auto"/>
        <w:jc w:val="both"/>
        <w:rPr>
          <w:rFonts w:asciiTheme="minorHAnsi" w:hAnsiTheme="minorHAnsi" w:cs="Arial"/>
          <w:color w:val="000000"/>
          <w:sz w:val="28"/>
          <w:szCs w:val="28"/>
        </w:rPr>
      </w:pPr>
      <w:r>
        <w:rPr>
          <w:rFonts w:asciiTheme="minorHAnsi" w:hAnsiTheme="minorHAnsi" w:cs="Arial"/>
          <w:color w:val="000000"/>
          <w:sz w:val="28"/>
          <w:szCs w:val="28"/>
        </w:rPr>
        <w:t>Para el caso de nuestro Estado, e</w:t>
      </w:r>
      <w:r w:rsidR="00BC29EC">
        <w:rPr>
          <w:rFonts w:asciiTheme="minorHAnsi" w:hAnsiTheme="minorHAnsi" w:cs="Arial"/>
          <w:color w:val="000000"/>
          <w:sz w:val="28"/>
          <w:szCs w:val="28"/>
        </w:rPr>
        <w:t>n lo que respecta de Enero a Agosto</w:t>
      </w:r>
      <w:r w:rsidR="00DF179D">
        <w:rPr>
          <w:rFonts w:asciiTheme="minorHAnsi" w:hAnsiTheme="minorHAnsi" w:cs="Arial"/>
          <w:color w:val="000000"/>
          <w:sz w:val="28"/>
          <w:szCs w:val="28"/>
        </w:rPr>
        <w:t xml:space="preserve"> del 2020, se han registrado 6</w:t>
      </w:r>
      <w:r>
        <w:rPr>
          <w:rFonts w:asciiTheme="minorHAnsi" w:hAnsiTheme="minorHAnsi" w:cs="Arial"/>
          <w:color w:val="000000"/>
          <w:sz w:val="28"/>
          <w:szCs w:val="28"/>
        </w:rPr>
        <w:t xml:space="preserve"> delitos </w:t>
      </w:r>
      <w:r w:rsidR="00DF179D">
        <w:rPr>
          <w:rFonts w:asciiTheme="minorHAnsi" w:hAnsiTheme="minorHAnsi" w:cs="Arial"/>
          <w:color w:val="000000"/>
          <w:sz w:val="28"/>
          <w:szCs w:val="28"/>
        </w:rPr>
        <w:t xml:space="preserve">que se clasificaron como </w:t>
      </w:r>
      <w:r>
        <w:rPr>
          <w:rFonts w:asciiTheme="minorHAnsi" w:hAnsiTheme="minorHAnsi" w:cs="Arial"/>
          <w:color w:val="000000"/>
          <w:sz w:val="28"/>
          <w:szCs w:val="28"/>
        </w:rPr>
        <w:t>feminicidio</w:t>
      </w:r>
      <w:r w:rsidR="00DF179D">
        <w:rPr>
          <w:rFonts w:asciiTheme="minorHAnsi" w:hAnsiTheme="minorHAnsi" w:cs="Arial"/>
          <w:color w:val="000000"/>
          <w:sz w:val="28"/>
          <w:szCs w:val="28"/>
        </w:rPr>
        <w:t xml:space="preserve">, </w:t>
      </w:r>
      <w:r w:rsidRPr="00880F57">
        <w:rPr>
          <w:rFonts w:asciiTheme="minorHAnsi" w:hAnsiTheme="minorHAnsi" w:cs="Arial"/>
          <w:color w:val="000000"/>
          <w:sz w:val="28"/>
          <w:szCs w:val="28"/>
        </w:rPr>
        <w:t>un incremento mayor al año 2019 que r</w:t>
      </w:r>
      <w:r w:rsidR="006E6B62" w:rsidRPr="00880F57">
        <w:rPr>
          <w:rFonts w:asciiTheme="minorHAnsi" w:hAnsiTheme="minorHAnsi" w:cs="Arial"/>
          <w:color w:val="000000"/>
          <w:sz w:val="28"/>
          <w:szCs w:val="28"/>
        </w:rPr>
        <w:t>egistró 3 casos de feminicidio.</w:t>
      </w:r>
      <w:r w:rsidR="006E6B62" w:rsidRPr="00C83B72">
        <w:rPr>
          <w:rFonts w:asciiTheme="minorHAnsi" w:hAnsiTheme="minorHAnsi" w:cs="Arial"/>
          <w:color w:val="000000"/>
          <w:sz w:val="28"/>
          <w:szCs w:val="28"/>
        </w:rPr>
        <w:t xml:space="preserve"> </w:t>
      </w:r>
    </w:p>
    <w:p w:rsidR="0011623D" w:rsidRPr="00BC29EC" w:rsidRDefault="00BC29EC" w:rsidP="0011623D">
      <w:pPr>
        <w:pStyle w:val="fonttertiary"/>
        <w:spacing w:before="0" w:beforeAutospacing="0" w:after="450" w:afterAutospacing="0" w:line="360" w:lineRule="auto"/>
        <w:jc w:val="both"/>
        <w:rPr>
          <w:rFonts w:asciiTheme="minorHAnsi" w:hAnsiTheme="minorHAnsi" w:cs="Arial"/>
          <w:color w:val="000000"/>
          <w:sz w:val="28"/>
          <w:szCs w:val="28"/>
        </w:rPr>
      </w:pPr>
      <w:r>
        <w:rPr>
          <w:rFonts w:asciiTheme="minorHAnsi" w:hAnsiTheme="minorHAnsi" w:cs="Arial"/>
          <w:color w:val="000000"/>
          <w:sz w:val="28"/>
          <w:szCs w:val="28"/>
        </w:rPr>
        <w:lastRenderedPageBreak/>
        <w:t xml:space="preserve">Ahora bien, en lo que respecta al listado de los primeros cien municipios con presuntos delitos de feminicidio de Enero a Julio de 2020, Mérida ocupa el lugar número 50, es decir, el 0.60 % de Delitos por cada 100,000 mil mujeres. </w:t>
      </w:r>
      <w:r w:rsidR="006E6B62" w:rsidRPr="00C83B72">
        <w:rPr>
          <w:rFonts w:asciiTheme="minorHAnsi" w:hAnsiTheme="minorHAnsi" w:cs="Arial"/>
          <w:color w:val="000000"/>
          <w:sz w:val="28"/>
          <w:szCs w:val="28"/>
        </w:rPr>
        <w:t>E</w:t>
      </w:r>
      <w:r w:rsidR="006C7232" w:rsidRPr="00C83B72">
        <w:rPr>
          <w:rFonts w:asciiTheme="minorHAnsi" w:hAnsiTheme="minorHAnsi" w:cs="Arial"/>
          <w:color w:val="000000"/>
          <w:sz w:val="28"/>
          <w:szCs w:val="28"/>
        </w:rPr>
        <w:t xml:space="preserve">sto quiere decir que el delito de feminicidio en México ha ido en aumento desde el </w:t>
      </w:r>
      <w:r w:rsidR="00C83B72" w:rsidRPr="00C83B72">
        <w:rPr>
          <w:rFonts w:asciiTheme="minorHAnsi" w:hAnsiTheme="minorHAnsi" w:cs="Arial"/>
          <w:color w:val="000000"/>
          <w:sz w:val="28"/>
          <w:szCs w:val="28"/>
        </w:rPr>
        <w:t xml:space="preserve">año </w:t>
      </w:r>
      <w:r w:rsidR="006C7232" w:rsidRPr="00C83B72">
        <w:rPr>
          <w:rFonts w:asciiTheme="minorHAnsi" w:hAnsiTheme="minorHAnsi" w:cs="Arial"/>
          <w:color w:val="000000"/>
          <w:sz w:val="28"/>
          <w:szCs w:val="28"/>
        </w:rPr>
        <w:t xml:space="preserve">2015 hasta el 2020, siendo </w:t>
      </w:r>
      <w:r w:rsidR="006E6B62" w:rsidRPr="00C83B72">
        <w:rPr>
          <w:rFonts w:asciiTheme="minorHAnsi" w:hAnsiTheme="minorHAnsi" w:cs="Arial"/>
          <w:color w:val="000000"/>
          <w:sz w:val="28"/>
          <w:szCs w:val="28"/>
        </w:rPr>
        <w:t>éstos</w:t>
      </w:r>
      <w:r w:rsidR="006C7232" w:rsidRPr="00C83B72">
        <w:rPr>
          <w:rFonts w:asciiTheme="minorHAnsi" w:hAnsiTheme="minorHAnsi" w:cs="Arial"/>
          <w:color w:val="000000"/>
          <w:sz w:val="28"/>
          <w:szCs w:val="28"/>
        </w:rPr>
        <w:t xml:space="preserve"> datos </w:t>
      </w:r>
      <w:r w:rsidR="00C83B72" w:rsidRPr="00C83B72">
        <w:rPr>
          <w:rFonts w:asciiTheme="minorHAnsi" w:hAnsiTheme="minorHAnsi"/>
          <w:color w:val="333333"/>
          <w:sz w:val="28"/>
          <w:szCs w:val="28"/>
          <w:shd w:val="clear" w:color="auto" w:fill="FFFFFF"/>
        </w:rPr>
        <w:t xml:space="preserve">para las mujeres un panorama completamente </w:t>
      </w:r>
      <w:r w:rsidR="006C7232" w:rsidRPr="00C83B72">
        <w:rPr>
          <w:rFonts w:asciiTheme="minorHAnsi" w:hAnsiTheme="minorHAnsi"/>
          <w:color w:val="333333"/>
          <w:sz w:val="28"/>
          <w:szCs w:val="28"/>
          <w:shd w:val="clear" w:color="auto" w:fill="FFFFFF"/>
        </w:rPr>
        <w:t xml:space="preserve">desolador. </w:t>
      </w:r>
    </w:p>
    <w:p w:rsidR="005B2887" w:rsidRDefault="005B2887" w:rsidP="0011623D">
      <w:pPr>
        <w:pStyle w:val="fonttertiary"/>
        <w:spacing w:before="0" w:beforeAutospacing="0" w:after="450" w:afterAutospacing="0" w:line="360" w:lineRule="auto"/>
        <w:jc w:val="both"/>
        <w:rPr>
          <w:rFonts w:asciiTheme="minorHAnsi" w:hAnsiTheme="minorHAnsi" w:cs="Arial"/>
          <w:color w:val="000000"/>
          <w:sz w:val="28"/>
          <w:szCs w:val="28"/>
        </w:rPr>
      </w:pPr>
      <w:r w:rsidRPr="00BA7DD9">
        <w:rPr>
          <w:rFonts w:asciiTheme="minorHAnsi" w:hAnsiTheme="minorHAnsi" w:cs="Arial"/>
          <w:color w:val="000000"/>
          <w:sz w:val="28"/>
          <w:szCs w:val="28"/>
        </w:rPr>
        <w:t xml:space="preserve">En México </w:t>
      </w:r>
      <w:r w:rsidR="002644CE">
        <w:rPr>
          <w:rFonts w:asciiTheme="minorHAnsi" w:hAnsiTheme="minorHAnsi" w:cs="Arial"/>
          <w:color w:val="000000"/>
          <w:sz w:val="28"/>
          <w:szCs w:val="28"/>
        </w:rPr>
        <w:t xml:space="preserve">y por lo tanto en Yucatán, </w:t>
      </w:r>
      <w:r w:rsidRPr="00BA7DD9">
        <w:rPr>
          <w:rFonts w:asciiTheme="minorHAnsi" w:hAnsiTheme="minorHAnsi" w:cs="Arial"/>
          <w:color w:val="000000"/>
          <w:sz w:val="28"/>
          <w:szCs w:val="28"/>
        </w:rPr>
        <w:t>existe un alto nivel de violencia de género, la cual permea en todos los ámbitos de la vida cotidiana. La máxima expresión de la violencia contra las mujeres</w:t>
      </w:r>
      <w:r w:rsidR="002644CE">
        <w:rPr>
          <w:rFonts w:asciiTheme="minorHAnsi" w:hAnsiTheme="minorHAnsi" w:cs="Arial"/>
          <w:color w:val="000000"/>
          <w:sz w:val="28"/>
          <w:szCs w:val="28"/>
        </w:rPr>
        <w:t xml:space="preserve"> como bien sabemos</w:t>
      </w:r>
      <w:r w:rsidRPr="00BA7DD9">
        <w:rPr>
          <w:rFonts w:asciiTheme="minorHAnsi" w:hAnsiTheme="minorHAnsi" w:cs="Arial"/>
          <w:color w:val="000000"/>
          <w:sz w:val="28"/>
          <w:szCs w:val="28"/>
        </w:rPr>
        <w:t xml:space="preserve"> es el feminicidio.</w:t>
      </w:r>
    </w:p>
    <w:p w:rsidR="006F27E9" w:rsidRDefault="006F27E9" w:rsidP="0097071A">
      <w:pPr>
        <w:pStyle w:val="Default"/>
        <w:spacing w:line="360" w:lineRule="auto"/>
        <w:jc w:val="both"/>
        <w:rPr>
          <w:sz w:val="28"/>
          <w:szCs w:val="28"/>
        </w:rPr>
      </w:pPr>
      <w:r w:rsidRPr="0097071A">
        <w:rPr>
          <w:sz w:val="28"/>
          <w:szCs w:val="28"/>
        </w:rPr>
        <w:t xml:space="preserve">La </w:t>
      </w:r>
      <w:r w:rsidRPr="0097071A">
        <w:rPr>
          <w:bCs/>
          <w:sz w:val="28"/>
          <w:szCs w:val="28"/>
        </w:rPr>
        <w:t xml:space="preserve">Convención Interamericana para Prevenir, Sancionar y Erradicar la violencia contra la Mujer </w:t>
      </w:r>
      <w:r w:rsidRPr="0097071A">
        <w:rPr>
          <w:sz w:val="28"/>
          <w:szCs w:val="28"/>
        </w:rPr>
        <w:t>(</w:t>
      </w:r>
      <w:r w:rsidRPr="0097071A">
        <w:rPr>
          <w:bCs/>
          <w:sz w:val="28"/>
          <w:szCs w:val="28"/>
        </w:rPr>
        <w:t>Convención Belém do Pará)</w:t>
      </w:r>
      <w:r w:rsidRPr="0097071A">
        <w:rPr>
          <w:b/>
          <w:bCs/>
          <w:sz w:val="28"/>
          <w:szCs w:val="28"/>
        </w:rPr>
        <w:t xml:space="preserve"> </w:t>
      </w:r>
      <w:r w:rsidRPr="0097071A">
        <w:rPr>
          <w:sz w:val="28"/>
          <w:szCs w:val="28"/>
        </w:rPr>
        <w:t xml:space="preserve">define la violencia contra la mujer como cualquier acción o conducta, basada en su género, que cause muerte, daño o sufrimiento físico, sexual, psicológico a la mujer tanto en el ámbito privado como en el público; es decir, en los </w:t>
      </w:r>
      <w:r w:rsidRPr="00357D7B">
        <w:rPr>
          <w:bCs/>
          <w:iCs/>
          <w:sz w:val="28"/>
          <w:szCs w:val="28"/>
        </w:rPr>
        <w:t xml:space="preserve">espacios públicos </w:t>
      </w:r>
      <w:r w:rsidRPr="00357D7B">
        <w:rPr>
          <w:sz w:val="28"/>
          <w:szCs w:val="28"/>
        </w:rPr>
        <w:t xml:space="preserve">(la calle, el transporte, los parques, etc.) o la </w:t>
      </w:r>
      <w:r w:rsidRPr="00357D7B">
        <w:rPr>
          <w:bCs/>
          <w:iCs/>
          <w:sz w:val="28"/>
          <w:szCs w:val="28"/>
        </w:rPr>
        <w:t xml:space="preserve">comunidad </w:t>
      </w:r>
      <w:r w:rsidRPr="00357D7B">
        <w:rPr>
          <w:sz w:val="28"/>
          <w:szCs w:val="28"/>
        </w:rPr>
        <w:t xml:space="preserve">(incluyendo su barrio, </w:t>
      </w:r>
      <w:r w:rsidRPr="00357D7B">
        <w:rPr>
          <w:bCs/>
          <w:sz w:val="28"/>
          <w:szCs w:val="28"/>
        </w:rPr>
        <w:t>lugar de trabajo</w:t>
      </w:r>
      <w:r w:rsidRPr="00357D7B">
        <w:rPr>
          <w:sz w:val="28"/>
          <w:szCs w:val="28"/>
        </w:rPr>
        <w:t xml:space="preserve">, así como en </w:t>
      </w:r>
      <w:r w:rsidRPr="00357D7B">
        <w:rPr>
          <w:bCs/>
          <w:sz w:val="28"/>
          <w:szCs w:val="28"/>
        </w:rPr>
        <w:t xml:space="preserve">instituciones educativas </w:t>
      </w:r>
      <w:r w:rsidRPr="00357D7B">
        <w:rPr>
          <w:sz w:val="28"/>
          <w:szCs w:val="28"/>
        </w:rPr>
        <w:t xml:space="preserve">o </w:t>
      </w:r>
      <w:r w:rsidRPr="00357D7B">
        <w:rPr>
          <w:bCs/>
          <w:sz w:val="28"/>
          <w:szCs w:val="28"/>
        </w:rPr>
        <w:t>de salud</w:t>
      </w:r>
      <w:r w:rsidRPr="0097071A">
        <w:rPr>
          <w:sz w:val="28"/>
          <w:szCs w:val="28"/>
        </w:rPr>
        <w:t xml:space="preserve">). </w:t>
      </w:r>
    </w:p>
    <w:p w:rsidR="00357D7B" w:rsidRPr="0097071A" w:rsidRDefault="00357D7B" w:rsidP="0097071A">
      <w:pPr>
        <w:pStyle w:val="Default"/>
        <w:spacing w:line="360" w:lineRule="auto"/>
        <w:jc w:val="both"/>
        <w:rPr>
          <w:sz w:val="28"/>
          <w:szCs w:val="28"/>
        </w:rPr>
      </w:pPr>
    </w:p>
    <w:p w:rsidR="000E0043" w:rsidRDefault="006F27E9" w:rsidP="0097071A">
      <w:pPr>
        <w:pStyle w:val="Default"/>
        <w:spacing w:line="360" w:lineRule="auto"/>
        <w:jc w:val="both"/>
        <w:rPr>
          <w:sz w:val="28"/>
          <w:szCs w:val="28"/>
        </w:rPr>
      </w:pPr>
      <w:r w:rsidRPr="0097071A">
        <w:rPr>
          <w:sz w:val="28"/>
          <w:szCs w:val="28"/>
        </w:rPr>
        <w:t xml:space="preserve">A diferencia de la violencia en el ámbito privado, que es ejercida principalmente por una persona conocida o del ámbito familiar, la que se presenta en la comunidad es ejercida mayoritariamente por personas desconocidas (por ejemplo, cuando tiene lugar en la calle) o por personas del entorno </w:t>
      </w:r>
      <w:r w:rsidRPr="00431443">
        <w:rPr>
          <w:sz w:val="28"/>
          <w:szCs w:val="28"/>
        </w:rPr>
        <w:t xml:space="preserve">comunitario (vecinal, laboral o escolar) de la mujer o niña. En México, </w:t>
      </w:r>
      <w:r w:rsidRPr="00431443">
        <w:rPr>
          <w:sz w:val="28"/>
          <w:szCs w:val="28"/>
        </w:rPr>
        <w:lastRenderedPageBreak/>
        <w:t xml:space="preserve">la </w:t>
      </w:r>
      <w:r w:rsidRPr="00431443">
        <w:rPr>
          <w:bCs/>
          <w:sz w:val="28"/>
          <w:szCs w:val="28"/>
        </w:rPr>
        <w:t xml:space="preserve">Ley General de Acceso de las Mujeres a una Vida Libre de Violencia </w:t>
      </w:r>
      <w:r w:rsidRPr="00431443">
        <w:rPr>
          <w:sz w:val="28"/>
          <w:szCs w:val="28"/>
        </w:rPr>
        <w:t>define esta violencia como “los actos individuales o colectivos que transgreden</w:t>
      </w:r>
      <w:r w:rsidRPr="0097071A">
        <w:rPr>
          <w:sz w:val="28"/>
          <w:szCs w:val="28"/>
        </w:rPr>
        <w:t xml:space="preserve"> </w:t>
      </w:r>
      <w:r w:rsidRPr="003E2A0C">
        <w:rPr>
          <w:sz w:val="28"/>
          <w:szCs w:val="28"/>
        </w:rPr>
        <w:t xml:space="preserve">derechos fundamentales de las mujeres y propician su denigración, discriminación, </w:t>
      </w:r>
      <w:r w:rsidRPr="003E2A0C">
        <w:rPr>
          <w:bCs/>
          <w:sz w:val="28"/>
          <w:szCs w:val="28"/>
        </w:rPr>
        <w:t>marginación y exclusión del ámbito público</w:t>
      </w:r>
      <w:r w:rsidR="000E0043">
        <w:rPr>
          <w:sz w:val="28"/>
          <w:szCs w:val="28"/>
        </w:rPr>
        <w:t>”</w:t>
      </w:r>
      <w:r w:rsidRPr="003E2A0C">
        <w:rPr>
          <w:sz w:val="28"/>
          <w:szCs w:val="28"/>
        </w:rPr>
        <w:t xml:space="preserve">. </w:t>
      </w:r>
    </w:p>
    <w:p w:rsidR="00025B81" w:rsidRPr="0097071A" w:rsidRDefault="00025B81" w:rsidP="0097071A">
      <w:pPr>
        <w:pStyle w:val="Default"/>
        <w:spacing w:line="360" w:lineRule="auto"/>
        <w:jc w:val="both"/>
        <w:rPr>
          <w:sz w:val="28"/>
          <w:szCs w:val="28"/>
        </w:rPr>
      </w:pPr>
    </w:p>
    <w:p w:rsidR="005B2887" w:rsidRPr="009E3A0D" w:rsidRDefault="005B2887" w:rsidP="00E34762">
      <w:pPr>
        <w:pStyle w:val="NormalWeb"/>
        <w:shd w:val="clear" w:color="auto" w:fill="FFFFFF"/>
        <w:spacing w:before="0" w:beforeAutospacing="0" w:after="360" w:afterAutospacing="0" w:line="360" w:lineRule="auto"/>
        <w:jc w:val="both"/>
        <w:rPr>
          <w:rFonts w:asciiTheme="minorHAnsi" w:hAnsiTheme="minorHAnsi" w:cs="Arial"/>
          <w:color w:val="000000"/>
          <w:sz w:val="28"/>
          <w:szCs w:val="28"/>
        </w:rPr>
      </w:pPr>
      <w:r w:rsidRPr="00BA7DD9">
        <w:rPr>
          <w:rFonts w:asciiTheme="minorHAnsi" w:hAnsiTheme="minorHAnsi" w:cs="Arial"/>
          <w:color w:val="000000"/>
          <w:sz w:val="28"/>
          <w:szCs w:val="28"/>
        </w:rPr>
        <w:t xml:space="preserve">La  Comisión de Derechos Humanos de la Ciudad de México considera que </w:t>
      </w:r>
      <w:r w:rsidRPr="00E34762">
        <w:rPr>
          <w:rFonts w:asciiTheme="minorHAnsi" w:hAnsiTheme="minorHAnsi" w:cs="Arial"/>
          <w:color w:val="000000"/>
          <w:sz w:val="28"/>
          <w:szCs w:val="28"/>
        </w:rPr>
        <w:t>la</w:t>
      </w:r>
      <w:r w:rsidRPr="00E34762">
        <w:rPr>
          <w:rFonts w:asciiTheme="minorHAnsi" w:hAnsiTheme="minorHAnsi" w:cs="Arial"/>
          <w:b/>
          <w:color w:val="000000"/>
          <w:sz w:val="28"/>
          <w:szCs w:val="28"/>
        </w:rPr>
        <w:t> </w:t>
      </w:r>
      <w:r w:rsidRPr="00E34762">
        <w:rPr>
          <w:rStyle w:val="Textoennegrita"/>
          <w:rFonts w:asciiTheme="minorHAnsi" w:hAnsiTheme="minorHAnsi" w:cs="Arial"/>
          <w:b w:val="0"/>
          <w:color w:val="000000"/>
          <w:sz w:val="28"/>
          <w:szCs w:val="28"/>
        </w:rPr>
        <w:t>violencia feminicida en México</w:t>
      </w:r>
      <w:r w:rsidRPr="00E34762">
        <w:rPr>
          <w:rFonts w:asciiTheme="minorHAnsi" w:hAnsiTheme="minorHAnsi" w:cs="Arial"/>
          <w:b/>
          <w:color w:val="000000"/>
          <w:sz w:val="28"/>
          <w:szCs w:val="28"/>
        </w:rPr>
        <w:t> </w:t>
      </w:r>
      <w:r w:rsidRPr="00E34762">
        <w:rPr>
          <w:rFonts w:asciiTheme="minorHAnsi" w:hAnsiTheme="minorHAnsi" w:cs="Arial"/>
          <w:color w:val="000000"/>
          <w:sz w:val="28"/>
          <w:szCs w:val="28"/>
        </w:rPr>
        <w:t xml:space="preserve">obedece </w:t>
      </w:r>
      <w:r w:rsidRPr="00BA7DD9">
        <w:rPr>
          <w:rFonts w:asciiTheme="minorHAnsi" w:hAnsiTheme="minorHAnsi" w:cs="Arial"/>
          <w:color w:val="000000"/>
          <w:sz w:val="28"/>
          <w:szCs w:val="28"/>
        </w:rPr>
        <w:t xml:space="preserve">a un contexto de cultura machista y misógina arraigada, pero también a una serie de factores sociales, económicos y políticos. Por ejemplo: discriminación por género, impunidad, condición social, edad, etnia y criminalidad, entre otros. Estos factores vulneran </w:t>
      </w:r>
      <w:r w:rsidRPr="009E3A0D">
        <w:rPr>
          <w:rFonts w:asciiTheme="minorHAnsi" w:hAnsiTheme="minorHAnsi" w:cs="Arial"/>
          <w:color w:val="000000"/>
          <w:sz w:val="28"/>
          <w:szCs w:val="28"/>
        </w:rPr>
        <w:t>sistemáticamente todos los derechos de las mujeres al grado de poner en peligro su integridad y causar su muerte.</w:t>
      </w:r>
    </w:p>
    <w:p w:rsidR="00F36FED" w:rsidRDefault="009F3F7F" w:rsidP="00E34762">
      <w:pPr>
        <w:pStyle w:val="NormalWeb"/>
        <w:shd w:val="clear" w:color="auto" w:fill="FFFFFF"/>
        <w:spacing w:before="0" w:beforeAutospacing="0" w:after="360" w:afterAutospacing="0" w:line="360" w:lineRule="auto"/>
        <w:jc w:val="both"/>
        <w:rPr>
          <w:rFonts w:asciiTheme="minorHAnsi" w:hAnsiTheme="minorHAnsi" w:cs="Arial"/>
          <w:color w:val="000000"/>
          <w:sz w:val="28"/>
          <w:szCs w:val="28"/>
        </w:rPr>
      </w:pPr>
      <w:r w:rsidRPr="009E3A0D">
        <w:rPr>
          <w:rFonts w:asciiTheme="minorHAnsi" w:hAnsiTheme="minorHAnsi" w:cs="Arial"/>
          <w:color w:val="000000"/>
          <w:sz w:val="28"/>
          <w:szCs w:val="28"/>
        </w:rPr>
        <w:t>La fracción Parlamentaria de Movimiento Ciudadano</w:t>
      </w:r>
      <w:r w:rsidR="009F01CB">
        <w:rPr>
          <w:rFonts w:asciiTheme="minorHAnsi" w:hAnsiTheme="minorHAnsi" w:cs="Arial"/>
          <w:color w:val="000000"/>
          <w:sz w:val="28"/>
          <w:szCs w:val="28"/>
        </w:rPr>
        <w:t xml:space="preserve"> </w:t>
      </w:r>
      <w:r w:rsidR="00E77098">
        <w:rPr>
          <w:rFonts w:asciiTheme="minorHAnsi" w:hAnsiTheme="minorHAnsi" w:cs="Arial"/>
          <w:color w:val="000000"/>
          <w:sz w:val="28"/>
          <w:szCs w:val="28"/>
        </w:rPr>
        <w:t xml:space="preserve">estamos comprometidos con defender todas aquellas causas que pongan fin </w:t>
      </w:r>
      <w:r w:rsidR="008A1CFD">
        <w:rPr>
          <w:rFonts w:asciiTheme="minorHAnsi" w:hAnsiTheme="minorHAnsi" w:cs="Arial"/>
          <w:color w:val="000000"/>
          <w:sz w:val="28"/>
          <w:szCs w:val="28"/>
        </w:rPr>
        <w:t xml:space="preserve">a la Violencia y </w:t>
      </w:r>
      <w:r w:rsidR="000E0043">
        <w:rPr>
          <w:rFonts w:asciiTheme="minorHAnsi" w:hAnsiTheme="minorHAnsi" w:cs="Arial"/>
          <w:color w:val="000000"/>
          <w:sz w:val="28"/>
          <w:szCs w:val="28"/>
        </w:rPr>
        <w:t xml:space="preserve">consideramos </w:t>
      </w:r>
      <w:r w:rsidR="004C57ED" w:rsidRPr="009E3A0D">
        <w:rPr>
          <w:rFonts w:asciiTheme="minorHAnsi" w:hAnsiTheme="minorHAnsi" w:cs="Arial"/>
          <w:color w:val="000000"/>
          <w:sz w:val="28"/>
          <w:szCs w:val="28"/>
        </w:rPr>
        <w:t xml:space="preserve">que además de la homologación a nivel Federal que requiere el delito de Feminicidio en </w:t>
      </w:r>
      <w:r w:rsidR="00503820" w:rsidRPr="009E3A0D">
        <w:rPr>
          <w:rFonts w:asciiTheme="minorHAnsi" w:hAnsiTheme="minorHAnsi" w:cs="Arial"/>
          <w:color w:val="000000"/>
          <w:sz w:val="28"/>
          <w:szCs w:val="28"/>
        </w:rPr>
        <w:t xml:space="preserve">Yucatán, para el incremento de la penalidad, </w:t>
      </w:r>
      <w:r w:rsidR="000E0043">
        <w:rPr>
          <w:rFonts w:asciiTheme="minorHAnsi" w:hAnsiTheme="minorHAnsi" w:cs="Arial"/>
          <w:color w:val="000000"/>
          <w:sz w:val="28"/>
          <w:szCs w:val="28"/>
        </w:rPr>
        <w:t xml:space="preserve">es relevante incluir nuevas conductas y agravantes para la tipificación del </w:t>
      </w:r>
      <w:r w:rsidR="00E34762" w:rsidRPr="009E3A0D">
        <w:rPr>
          <w:rFonts w:asciiTheme="minorHAnsi" w:hAnsiTheme="minorHAnsi" w:cs="Arial"/>
          <w:color w:val="000000"/>
          <w:sz w:val="28"/>
          <w:szCs w:val="28"/>
        </w:rPr>
        <w:t>delito de feminicidio</w:t>
      </w:r>
      <w:r w:rsidR="002B61D4">
        <w:rPr>
          <w:rFonts w:asciiTheme="minorHAnsi" w:hAnsiTheme="minorHAnsi" w:cs="Arial"/>
          <w:color w:val="000000"/>
          <w:sz w:val="28"/>
          <w:szCs w:val="28"/>
        </w:rPr>
        <w:t xml:space="preserve"> que </w:t>
      </w:r>
      <w:r w:rsidR="002B61D4">
        <w:rPr>
          <w:rFonts w:asciiTheme="minorHAnsi" w:hAnsiTheme="minorHAnsi"/>
          <w:sz w:val="28"/>
          <w:szCs w:val="28"/>
        </w:rPr>
        <w:t>justifique</w:t>
      </w:r>
      <w:r w:rsidR="00F36FED" w:rsidRPr="009E3A0D">
        <w:rPr>
          <w:rFonts w:asciiTheme="minorHAnsi" w:hAnsiTheme="minorHAnsi"/>
          <w:sz w:val="28"/>
          <w:szCs w:val="28"/>
        </w:rPr>
        <w:t xml:space="preserve">n su tratamiento técnico como tipo penal autónomo. </w:t>
      </w:r>
    </w:p>
    <w:p w:rsidR="001D3E83" w:rsidRDefault="00F238FB" w:rsidP="00E34762">
      <w:pPr>
        <w:spacing w:line="360" w:lineRule="auto"/>
        <w:jc w:val="both"/>
        <w:rPr>
          <w:rFonts w:cs="Arial"/>
          <w:sz w:val="28"/>
          <w:szCs w:val="28"/>
        </w:rPr>
      </w:pPr>
      <w:r w:rsidRPr="009E3A0D">
        <w:rPr>
          <w:rFonts w:cs="Arial"/>
          <w:sz w:val="28"/>
          <w:szCs w:val="28"/>
        </w:rPr>
        <w:t>L</w:t>
      </w:r>
      <w:r w:rsidR="00F36FED" w:rsidRPr="009E3A0D">
        <w:rPr>
          <w:rFonts w:cs="Arial"/>
          <w:sz w:val="28"/>
          <w:szCs w:val="28"/>
        </w:rPr>
        <w:t xml:space="preserve">a presente iniciativa </w:t>
      </w:r>
      <w:r w:rsidR="00944E99">
        <w:rPr>
          <w:rFonts w:cs="Arial"/>
          <w:sz w:val="28"/>
          <w:szCs w:val="28"/>
        </w:rPr>
        <w:t xml:space="preserve">pretende modificar diversos supuestos </w:t>
      </w:r>
      <w:r w:rsidR="00944E99" w:rsidRPr="009E3A0D">
        <w:rPr>
          <w:rFonts w:cs="Arial"/>
          <w:sz w:val="28"/>
          <w:szCs w:val="28"/>
        </w:rPr>
        <w:t>referentes</w:t>
      </w:r>
      <w:r w:rsidRPr="009E3A0D">
        <w:rPr>
          <w:rFonts w:cs="Arial"/>
          <w:sz w:val="28"/>
          <w:szCs w:val="28"/>
        </w:rPr>
        <w:t xml:space="preserve"> al delito de Feminicidio. </w:t>
      </w:r>
    </w:p>
    <w:p w:rsidR="00863661" w:rsidRPr="009E3A0D" w:rsidRDefault="001D3E83" w:rsidP="00E34762">
      <w:pPr>
        <w:spacing w:line="360" w:lineRule="auto"/>
        <w:jc w:val="both"/>
        <w:rPr>
          <w:sz w:val="28"/>
          <w:szCs w:val="28"/>
        </w:rPr>
      </w:pPr>
      <w:r>
        <w:rPr>
          <w:rFonts w:cs="Arial"/>
          <w:sz w:val="28"/>
          <w:szCs w:val="28"/>
        </w:rPr>
        <w:lastRenderedPageBreak/>
        <w:t>Como primer punto</w:t>
      </w:r>
      <w:r w:rsidR="002644CE">
        <w:rPr>
          <w:rFonts w:cs="Arial"/>
          <w:sz w:val="28"/>
          <w:szCs w:val="28"/>
        </w:rPr>
        <w:t>,</w:t>
      </w:r>
      <w:r>
        <w:rPr>
          <w:rFonts w:cs="Arial"/>
          <w:sz w:val="28"/>
          <w:szCs w:val="28"/>
        </w:rPr>
        <w:t xml:space="preserve"> p</w:t>
      </w:r>
      <w:r w:rsidR="00F238FB" w:rsidRPr="009E3A0D">
        <w:rPr>
          <w:rFonts w:cs="Arial"/>
          <w:sz w:val="28"/>
          <w:szCs w:val="28"/>
        </w:rPr>
        <w:t xml:space="preserve">roponemos </w:t>
      </w:r>
      <w:r>
        <w:rPr>
          <w:rFonts w:cs="Arial"/>
          <w:sz w:val="28"/>
          <w:szCs w:val="28"/>
        </w:rPr>
        <w:t xml:space="preserve">la </w:t>
      </w:r>
      <w:r w:rsidRPr="009E3A0D">
        <w:rPr>
          <w:rFonts w:cs="Arial"/>
          <w:sz w:val="28"/>
          <w:szCs w:val="28"/>
        </w:rPr>
        <w:t>modifica</w:t>
      </w:r>
      <w:r>
        <w:rPr>
          <w:rFonts w:cs="Arial"/>
          <w:sz w:val="28"/>
          <w:szCs w:val="28"/>
        </w:rPr>
        <w:t>ción</w:t>
      </w:r>
      <w:r w:rsidR="00F238FB" w:rsidRPr="009E3A0D">
        <w:rPr>
          <w:rFonts w:cs="Arial"/>
          <w:sz w:val="28"/>
          <w:szCs w:val="28"/>
        </w:rPr>
        <w:t xml:space="preserve"> </w:t>
      </w:r>
      <w:r>
        <w:rPr>
          <w:rFonts w:cs="Arial"/>
          <w:sz w:val="28"/>
          <w:szCs w:val="28"/>
        </w:rPr>
        <w:t>d</w:t>
      </w:r>
      <w:r w:rsidR="00F238FB" w:rsidRPr="009E3A0D">
        <w:rPr>
          <w:rFonts w:cs="Arial"/>
          <w:sz w:val="28"/>
          <w:szCs w:val="28"/>
        </w:rPr>
        <w:t xml:space="preserve">el artículo </w:t>
      </w:r>
      <w:r w:rsidR="00F238FB" w:rsidRPr="009E3A0D">
        <w:rPr>
          <w:rFonts w:cs="Arial"/>
          <w:bCs/>
          <w:sz w:val="28"/>
          <w:szCs w:val="28"/>
        </w:rPr>
        <w:t>394 Quinquies</w:t>
      </w:r>
      <w:r w:rsidR="00F238FB" w:rsidRPr="009E3A0D">
        <w:rPr>
          <w:rFonts w:cs="Arial"/>
          <w:b/>
          <w:bCs/>
          <w:sz w:val="28"/>
          <w:szCs w:val="28"/>
        </w:rPr>
        <w:t xml:space="preserve"> </w:t>
      </w:r>
      <w:r w:rsidR="00E34762" w:rsidRPr="009E3A0D">
        <w:rPr>
          <w:rFonts w:cs="Arial"/>
          <w:bCs/>
          <w:sz w:val="28"/>
          <w:szCs w:val="28"/>
        </w:rPr>
        <w:t xml:space="preserve">en </w:t>
      </w:r>
      <w:r w:rsidR="00F238FB" w:rsidRPr="009E3A0D">
        <w:rPr>
          <w:rFonts w:cs="Arial"/>
          <w:sz w:val="28"/>
          <w:szCs w:val="28"/>
        </w:rPr>
        <w:t>su primer párrafo,</w:t>
      </w:r>
      <w:r w:rsidR="00BF7198" w:rsidRPr="009E3A0D">
        <w:rPr>
          <w:rFonts w:cs="Arial"/>
          <w:sz w:val="28"/>
          <w:szCs w:val="28"/>
        </w:rPr>
        <w:t xml:space="preserve"> </w:t>
      </w:r>
      <w:r w:rsidR="00E34762" w:rsidRPr="009E3A0D">
        <w:rPr>
          <w:rFonts w:cs="Arial"/>
          <w:sz w:val="28"/>
          <w:szCs w:val="28"/>
        </w:rPr>
        <w:t xml:space="preserve">esto en virtud de que el citado párrafo </w:t>
      </w:r>
      <w:r w:rsidR="00863661" w:rsidRPr="009E3A0D">
        <w:rPr>
          <w:rFonts w:cs="Arial"/>
          <w:sz w:val="28"/>
          <w:szCs w:val="28"/>
        </w:rPr>
        <w:t>hace</w:t>
      </w:r>
      <w:r w:rsidR="00863661" w:rsidRPr="009E3A0D">
        <w:rPr>
          <w:sz w:val="28"/>
          <w:szCs w:val="28"/>
        </w:rPr>
        <w:t xml:space="preserve"> alusión amplia a “razones de género” en la descripción de la conducta típica pudiendo crear confusión, pues en algunos casos se ha considerado que es necesario actualizar más de dos circunstancias para que el tipo penal sea aplicable</w:t>
      </w:r>
      <w:r w:rsidR="002818F4" w:rsidRPr="009E3A0D">
        <w:rPr>
          <w:sz w:val="28"/>
          <w:szCs w:val="28"/>
        </w:rPr>
        <w:t xml:space="preserve">, </w:t>
      </w:r>
      <w:r w:rsidR="00BF7198" w:rsidRPr="009E3A0D">
        <w:rPr>
          <w:rFonts w:cs="Arial"/>
          <w:sz w:val="28"/>
          <w:szCs w:val="28"/>
        </w:rPr>
        <w:t xml:space="preserve">por lo que se plantea que el delito de feminicidio </w:t>
      </w:r>
      <w:r w:rsidR="00F238FB" w:rsidRPr="009E3A0D">
        <w:rPr>
          <w:sz w:val="28"/>
          <w:szCs w:val="28"/>
        </w:rPr>
        <w:t xml:space="preserve">concurra una razón de género para tipificar el </w:t>
      </w:r>
      <w:r w:rsidR="00BF7198" w:rsidRPr="009E3A0D">
        <w:rPr>
          <w:sz w:val="28"/>
          <w:szCs w:val="28"/>
        </w:rPr>
        <w:t xml:space="preserve">mismo </w:t>
      </w:r>
      <w:r w:rsidR="00F238FB" w:rsidRPr="009E3A0D">
        <w:rPr>
          <w:sz w:val="28"/>
          <w:szCs w:val="28"/>
        </w:rPr>
        <w:t>y no varios de los supuestos contemplados</w:t>
      </w:r>
      <w:r w:rsidR="00E34762" w:rsidRPr="009E3A0D">
        <w:rPr>
          <w:sz w:val="28"/>
          <w:szCs w:val="28"/>
        </w:rPr>
        <w:t xml:space="preserve"> en la legislación actual.</w:t>
      </w:r>
    </w:p>
    <w:p w:rsidR="006E580C" w:rsidRDefault="00E34762" w:rsidP="00E34762">
      <w:pPr>
        <w:spacing w:line="360" w:lineRule="auto"/>
        <w:jc w:val="both"/>
        <w:rPr>
          <w:sz w:val="28"/>
          <w:szCs w:val="28"/>
        </w:rPr>
      </w:pPr>
      <w:r w:rsidRPr="009E3A0D">
        <w:rPr>
          <w:rFonts w:cs="Arial"/>
          <w:sz w:val="28"/>
          <w:szCs w:val="28"/>
        </w:rPr>
        <w:t>E</w:t>
      </w:r>
      <w:r w:rsidR="008F0D4E" w:rsidRPr="009E3A0D">
        <w:rPr>
          <w:rFonts w:cs="Arial"/>
          <w:sz w:val="28"/>
          <w:szCs w:val="28"/>
        </w:rPr>
        <w:t xml:space="preserve">n lo que respecta a la </w:t>
      </w:r>
      <w:r w:rsidR="00F238FB" w:rsidRPr="009E3A0D">
        <w:rPr>
          <w:rFonts w:cs="Arial"/>
          <w:sz w:val="28"/>
          <w:szCs w:val="28"/>
        </w:rPr>
        <w:t xml:space="preserve">Fracción III </w:t>
      </w:r>
      <w:r w:rsidR="008F0D4E" w:rsidRPr="009E3A0D">
        <w:rPr>
          <w:rFonts w:cs="Arial"/>
          <w:sz w:val="28"/>
          <w:szCs w:val="28"/>
        </w:rPr>
        <w:t xml:space="preserve">del citado numeral </w:t>
      </w:r>
      <w:r w:rsidR="00F238FB" w:rsidRPr="009E3A0D">
        <w:rPr>
          <w:sz w:val="28"/>
          <w:szCs w:val="28"/>
        </w:rPr>
        <w:t>considera</w:t>
      </w:r>
      <w:r w:rsidR="008F0D4E" w:rsidRPr="009E3A0D">
        <w:rPr>
          <w:sz w:val="28"/>
          <w:szCs w:val="28"/>
        </w:rPr>
        <w:t>mos</w:t>
      </w:r>
      <w:r w:rsidR="00F238FB" w:rsidRPr="009E3A0D">
        <w:rPr>
          <w:sz w:val="28"/>
          <w:szCs w:val="28"/>
        </w:rPr>
        <w:t xml:space="preserve"> importante incluir como antecedentes de violencia los aspectos político y comunitario, como contextos de violencia previa en contra de la víctima además de los ya contemplados en la Ley</w:t>
      </w:r>
      <w:r w:rsidRPr="009E3A0D">
        <w:rPr>
          <w:sz w:val="28"/>
          <w:szCs w:val="28"/>
        </w:rPr>
        <w:t xml:space="preserve"> Local</w:t>
      </w:r>
      <w:r w:rsidR="008F0D4E" w:rsidRPr="009E3A0D">
        <w:rPr>
          <w:sz w:val="28"/>
          <w:szCs w:val="28"/>
        </w:rPr>
        <w:t xml:space="preserve">, </w:t>
      </w:r>
      <w:r w:rsidR="001D3E83">
        <w:rPr>
          <w:sz w:val="28"/>
          <w:szCs w:val="28"/>
        </w:rPr>
        <w:t xml:space="preserve">ya </w:t>
      </w:r>
      <w:r w:rsidR="008F0D4E" w:rsidRPr="009E3A0D">
        <w:rPr>
          <w:sz w:val="28"/>
          <w:szCs w:val="28"/>
        </w:rPr>
        <w:t>que en la actualidad no se están tomando en consideración estos tipos de violencia contra las mujeres que</w:t>
      </w:r>
      <w:r w:rsidR="00C877F9" w:rsidRPr="009E3A0D">
        <w:rPr>
          <w:sz w:val="28"/>
          <w:szCs w:val="28"/>
        </w:rPr>
        <w:t xml:space="preserve"> han sido muy concurrentes</w:t>
      </w:r>
      <w:r w:rsidRPr="009E3A0D">
        <w:rPr>
          <w:sz w:val="28"/>
          <w:szCs w:val="28"/>
        </w:rPr>
        <w:t>,</w:t>
      </w:r>
      <w:r w:rsidR="00C877F9" w:rsidRPr="009E3A0D">
        <w:rPr>
          <w:sz w:val="28"/>
          <w:szCs w:val="28"/>
        </w:rPr>
        <w:t xml:space="preserve"> </w:t>
      </w:r>
      <w:r w:rsidRPr="009E3A0D">
        <w:rPr>
          <w:sz w:val="28"/>
          <w:szCs w:val="28"/>
        </w:rPr>
        <w:t>en especial atención la violencia comunitaria</w:t>
      </w:r>
      <w:r w:rsidR="001D3E83">
        <w:rPr>
          <w:sz w:val="28"/>
          <w:szCs w:val="28"/>
        </w:rPr>
        <w:t>;</w:t>
      </w:r>
      <w:r w:rsidRPr="009E3A0D">
        <w:rPr>
          <w:sz w:val="28"/>
          <w:szCs w:val="28"/>
        </w:rPr>
        <w:t xml:space="preserve"> </w:t>
      </w:r>
      <w:r w:rsidR="006E580C" w:rsidRPr="0097071A">
        <w:rPr>
          <w:sz w:val="28"/>
          <w:szCs w:val="28"/>
        </w:rPr>
        <w:t xml:space="preserve">estas manifestaciones a las que se enfrentan las mujeres en los espacios </w:t>
      </w:r>
      <w:r w:rsidR="006E580C" w:rsidRPr="005E3D60">
        <w:rPr>
          <w:sz w:val="28"/>
          <w:szCs w:val="28"/>
        </w:rPr>
        <w:t xml:space="preserve">públicos </w:t>
      </w:r>
      <w:r w:rsidR="006E580C" w:rsidRPr="005E3D60">
        <w:rPr>
          <w:bCs/>
          <w:sz w:val="28"/>
          <w:szCs w:val="28"/>
        </w:rPr>
        <w:t xml:space="preserve">son toleradas, justificadas o minimizadas, </w:t>
      </w:r>
      <w:r w:rsidR="006E580C" w:rsidRPr="005E3D60">
        <w:rPr>
          <w:sz w:val="28"/>
          <w:szCs w:val="28"/>
        </w:rPr>
        <w:t>y</w:t>
      </w:r>
      <w:r w:rsidR="006E580C" w:rsidRPr="0097071A">
        <w:rPr>
          <w:sz w:val="28"/>
          <w:szCs w:val="28"/>
        </w:rPr>
        <w:t xml:space="preserve"> frecuentemente, cuando ellas se oponen a esta violencia, reciben aún más.</w:t>
      </w:r>
    </w:p>
    <w:p w:rsidR="006E580C" w:rsidRPr="0097071A" w:rsidRDefault="006E580C" w:rsidP="006E580C">
      <w:pPr>
        <w:spacing w:line="360" w:lineRule="auto"/>
        <w:jc w:val="both"/>
        <w:rPr>
          <w:sz w:val="28"/>
          <w:szCs w:val="28"/>
        </w:rPr>
      </w:pPr>
      <w:r w:rsidRPr="0097071A">
        <w:rPr>
          <w:sz w:val="28"/>
          <w:szCs w:val="28"/>
        </w:rPr>
        <w:t>Esto se debe al sistema de valores que privilegia la figura del hombre al considerarle por “naturaleza” superior (por tanto las mujeres deben tolerar esta violencia, por ejemplo en el caso del acoso y hostigamiento sexual callejero), así como a las actitudes de discriminación contra ellas, y los prejuicios y estereotipos que las cosifican.</w:t>
      </w:r>
    </w:p>
    <w:p w:rsidR="00F238FB" w:rsidRPr="009E3A0D" w:rsidRDefault="00E547CC" w:rsidP="00E34762">
      <w:pPr>
        <w:spacing w:line="360" w:lineRule="auto"/>
        <w:jc w:val="both"/>
        <w:rPr>
          <w:sz w:val="28"/>
          <w:szCs w:val="28"/>
        </w:rPr>
      </w:pPr>
      <w:r w:rsidRPr="009E3A0D">
        <w:rPr>
          <w:rFonts w:cs="Arial"/>
          <w:sz w:val="28"/>
          <w:szCs w:val="28"/>
        </w:rPr>
        <w:lastRenderedPageBreak/>
        <w:t>Proponemos la modificación de la Fracción</w:t>
      </w:r>
      <w:r w:rsidR="00E34762" w:rsidRPr="009E3A0D">
        <w:rPr>
          <w:rFonts w:cs="Arial"/>
          <w:sz w:val="28"/>
          <w:szCs w:val="28"/>
        </w:rPr>
        <w:t xml:space="preserve"> V, siendo que </w:t>
      </w:r>
      <w:r w:rsidR="001D3E83">
        <w:rPr>
          <w:sz w:val="28"/>
          <w:szCs w:val="28"/>
        </w:rPr>
        <w:t>s</w:t>
      </w:r>
      <w:r w:rsidR="00F238FB" w:rsidRPr="009E3A0D">
        <w:rPr>
          <w:sz w:val="28"/>
          <w:szCs w:val="28"/>
        </w:rPr>
        <w:t>e considera importante señalar que exista alguna relación de superioridad o subordinación entre el sujeto activo y la víctima como lo puede ser en el ámbito laboral o docente.</w:t>
      </w:r>
      <w:r w:rsidR="00C92FA9" w:rsidRPr="009E3A0D">
        <w:rPr>
          <w:sz w:val="28"/>
          <w:szCs w:val="28"/>
        </w:rPr>
        <w:t xml:space="preserve"> Ya que en estos espacios se suscitan relaciones entre sujetos activos y víctimas que han culminado en agresiones o transgresión de la integridad o la vida de las mujeres.</w:t>
      </w:r>
    </w:p>
    <w:p w:rsidR="00A32F5E" w:rsidRPr="009E3A0D" w:rsidRDefault="00A32F5E" w:rsidP="00E34762">
      <w:pPr>
        <w:spacing w:line="360" w:lineRule="auto"/>
        <w:jc w:val="both"/>
        <w:rPr>
          <w:color w:val="000000" w:themeColor="text1"/>
          <w:sz w:val="28"/>
          <w:szCs w:val="28"/>
        </w:rPr>
      </w:pPr>
      <w:r w:rsidRPr="009E3A0D">
        <w:rPr>
          <w:sz w:val="28"/>
          <w:szCs w:val="28"/>
        </w:rPr>
        <w:t xml:space="preserve">Por lo que respecta a la </w:t>
      </w:r>
      <w:r w:rsidR="00543D4A" w:rsidRPr="009E3A0D">
        <w:rPr>
          <w:sz w:val="28"/>
          <w:szCs w:val="28"/>
        </w:rPr>
        <w:t>Fracción</w:t>
      </w:r>
      <w:r w:rsidR="00E34762" w:rsidRPr="009E3A0D">
        <w:rPr>
          <w:sz w:val="28"/>
          <w:szCs w:val="28"/>
        </w:rPr>
        <w:t xml:space="preserve"> VI, </w:t>
      </w:r>
      <w:r w:rsidRPr="009E3A0D">
        <w:rPr>
          <w:sz w:val="28"/>
          <w:szCs w:val="28"/>
        </w:rPr>
        <w:t xml:space="preserve">se concluye que en ocasiones las amenazas no se realizan directamente hacia la víctima, sino que, se </w:t>
      </w:r>
      <w:r w:rsidR="00E34762" w:rsidRPr="009E3A0D">
        <w:rPr>
          <w:sz w:val="28"/>
          <w:szCs w:val="28"/>
        </w:rPr>
        <w:t xml:space="preserve">pudieran </w:t>
      </w:r>
      <w:r w:rsidRPr="009E3A0D">
        <w:rPr>
          <w:sz w:val="28"/>
          <w:szCs w:val="28"/>
        </w:rPr>
        <w:t>realiza</w:t>
      </w:r>
      <w:r w:rsidR="00E34762" w:rsidRPr="009E3A0D">
        <w:rPr>
          <w:sz w:val="28"/>
          <w:szCs w:val="28"/>
        </w:rPr>
        <w:t>r</w:t>
      </w:r>
      <w:r w:rsidRPr="009E3A0D">
        <w:rPr>
          <w:sz w:val="28"/>
          <w:szCs w:val="28"/>
        </w:rPr>
        <w:t xml:space="preserve"> hacia pe</w:t>
      </w:r>
      <w:r w:rsidR="002644CE">
        <w:rPr>
          <w:sz w:val="28"/>
          <w:szCs w:val="28"/>
        </w:rPr>
        <w:t>rsonas del entorno cercano a esta</w:t>
      </w:r>
      <w:r w:rsidRPr="009E3A0D">
        <w:rPr>
          <w:sz w:val="28"/>
          <w:szCs w:val="28"/>
        </w:rPr>
        <w:t xml:space="preserve">. </w:t>
      </w:r>
      <w:r w:rsidR="002644CE">
        <w:rPr>
          <w:sz w:val="28"/>
          <w:szCs w:val="28"/>
        </w:rPr>
        <w:t>Al considerarse</w:t>
      </w:r>
      <w:r w:rsidRPr="009E3A0D">
        <w:rPr>
          <w:sz w:val="28"/>
          <w:szCs w:val="28"/>
        </w:rPr>
        <w:t xml:space="preserve"> que las amenazas puedan realizarse de forma directa o indirecta abre la posibilidad que el Ministerio Público</w:t>
      </w:r>
      <w:r w:rsidR="00E34762" w:rsidRPr="009E3A0D">
        <w:rPr>
          <w:sz w:val="28"/>
          <w:szCs w:val="28"/>
        </w:rPr>
        <w:t xml:space="preserve"> como autoridad investigadora,</w:t>
      </w:r>
      <w:r w:rsidRPr="009E3A0D">
        <w:rPr>
          <w:sz w:val="28"/>
          <w:szCs w:val="28"/>
        </w:rPr>
        <w:t xml:space="preserve"> sustente como evidencias las amenazas a la integridad de la víctima hechas a personas de su entorno inmediato.</w:t>
      </w:r>
    </w:p>
    <w:p w:rsidR="00882251" w:rsidRPr="009E3A0D" w:rsidRDefault="00E34762" w:rsidP="00882251">
      <w:pPr>
        <w:spacing w:line="360" w:lineRule="auto"/>
        <w:jc w:val="both"/>
        <w:rPr>
          <w:sz w:val="28"/>
          <w:szCs w:val="28"/>
        </w:rPr>
      </w:pPr>
      <w:r w:rsidRPr="009E3A0D">
        <w:rPr>
          <w:sz w:val="28"/>
          <w:szCs w:val="28"/>
        </w:rPr>
        <w:t xml:space="preserve">Proponemos la modificación de la Fracción VIII, </w:t>
      </w:r>
      <w:r w:rsidR="00882251" w:rsidRPr="009E3A0D">
        <w:rPr>
          <w:sz w:val="28"/>
          <w:szCs w:val="28"/>
        </w:rPr>
        <w:t>al incluir dos nuevas conductas que son “depositar” y “arrojar”, e</w:t>
      </w:r>
      <w:r w:rsidR="006F0B6E" w:rsidRPr="009E3A0D">
        <w:rPr>
          <w:color w:val="000000" w:themeColor="text1"/>
          <w:sz w:val="28"/>
          <w:szCs w:val="28"/>
        </w:rPr>
        <w:t>stos dos supuestos señalan la intención de desaparecer el cadáver de la víctima o bien de colocarlo en lu</w:t>
      </w:r>
      <w:r w:rsidR="00882251" w:rsidRPr="009E3A0D">
        <w:rPr>
          <w:color w:val="000000" w:themeColor="text1"/>
          <w:sz w:val="28"/>
          <w:szCs w:val="28"/>
        </w:rPr>
        <w:t>gares denigr</w:t>
      </w:r>
      <w:r w:rsidR="00BB13BA" w:rsidRPr="009E3A0D">
        <w:rPr>
          <w:color w:val="000000" w:themeColor="text1"/>
          <w:sz w:val="28"/>
          <w:szCs w:val="28"/>
        </w:rPr>
        <w:t>antes o degradantes;</w:t>
      </w:r>
      <w:r w:rsidR="00882251" w:rsidRPr="009E3A0D">
        <w:rPr>
          <w:color w:val="000000" w:themeColor="text1"/>
          <w:sz w:val="28"/>
          <w:szCs w:val="28"/>
        </w:rPr>
        <w:t xml:space="preserve"> </w:t>
      </w:r>
      <w:r w:rsidR="00BB13BA" w:rsidRPr="009E3A0D">
        <w:rPr>
          <w:sz w:val="28"/>
          <w:szCs w:val="28"/>
        </w:rPr>
        <w:t xml:space="preserve">“depositar” significa: poner, dejar, colocar en un sitio determinado, mientras que “arrojar” significa: impeler con violencia algo o echarlo. Estos conceptos son fundamentalmente distintos de los ya previstos en el Código Penal, pues que el cuerpo sea “arrojado” o “depositado” no implica necesariamente que se encuentre a la vista de cualquier persona de manera inmediata, lo que permite aplicar la circunstancia a las situaciones en que se arroja el cuerpo dentro de bolsas junto con la basura con la intención </w:t>
      </w:r>
      <w:r w:rsidR="00BB13BA" w:rsidRPr="009E3A0D">
        <w:rPr>
          <w:sz w:val="28"/>
          <w:szCs w:val="28"/>
        </w:rPr>
        <w:lastRenderedPageBreak/>
        <w:t xml:space="preserve">de desaparecer el cadáver o dar signos de degradación o menosprecio, siendo estas nuevas conductas un complemento </w:t>
      </w:r>
      <w:r w:rsidR="00B44FA9" w:rsidRPr="009E3A0D">
        <w:rPr>
          <w:sz w:val="28"/>
          <w:szCs w:val="28"/>
        </w:rPr>
        <w:t xml:space="preserve">a las ya contempladas en la Legislación Penal </w:t>
      </w:r>
      <w:r w:rsidR="00882251" w:rsidRPr="009E3A0D">
        <w:rPr>
          <w:sz w:val="28"/>
          <w:szCs w:val="28"/>
        </w:rPr>
        <w:t>d</w:t>
      </w:r>
      <w:r w:rsidR="00B44FA9" w:rsidRPr="009E3A0D">
        <w:rPr>
          <w:sz w:val="28"/>
          <w:szCs w:val="28"/>
        </w:rPr>
        <w:t>e nuestro E</w:t>
      </w:r>
      <w:r w:rsidR="00882251" w:rsidRPr="009E3A0D">
        <w:rPr>
          <w:sz w:val="28"/>
          <w:szCs w:val="28"/>
        </w:rPr>
        <w:t>stado.</w:t>
      </w:r>
    </w:p>
    <w:p w:rsidR="006F0B6E" w:rsidRPr="009E3A0D" w:rsidRDefault="00834951" w:rsidP="0004112F">
      <w:pPr>
        <w:spacing w:line="360" w:lineRule="auto"/>
        <w:jc w:val="both"/>
        <w:rPr>
          <w:sz w:val="28"/>
          <w:szCs w:val="28"/>
        </w:rPr>
      </w:pPr>
      <w:r w:rsidRPr="009E3A0D">
        <w:rPr>
          <w:sz w:val="28"/>
          <w:szCs w:val="28"/>
        </w:rPr>
        <w:t>Por último, consideramos importante la inclusión de una nueva agravante, el cual sería e</w:t>
      </w:r>
      <w:r w:rsidR="006F0B6E" w:rsidRPr="009E3A0D">
        <w:rPr>
          <w:color w:val="000000" w:themeColor="text1"/>
          <w:sz w:val="28"/>
          <w:szCs w:val="28"/>
        </w:rPr>
        <w:t xml:space="preserve">l uso de enervantes y </w:t>
      </w:r>
      <w:r w:rsidR="0004112F" w:rsidRPr="009E3A0D">
        <w:rPr>
          <w:color w:val="000000" w:themeColor="text1"/>
          <w:sz w:val="28"/>
          <w:szCs w:val="28"/>
        </w:rPr>
        <w:t>sustancias psicotrópicas</w:t>
      </w:r>
      <w:r w:rsidR="006F0B6E" w:rsidRPr="009E3A0D">
        <w:rPr>
          <w:color w:val="000000" w:themeColor="text1"/>
          <w:sz w:val="28"/>
          <w:szCs w:val="28"/>
        </w:rPr>
        <w:t xml:space="preserve"> para vencer la voluntad de la víctima</w:t>
      </w:r>
      <w:r w:rsidR="0004112F" w:rsidRPr="009E3A0D">
        <w:rPr>
          <w:color w:val="000000" w:themeColor="text1"/>
          <w:sz w:val="28"/>
          <w:szCs w:val="28"/>
        </w:rPr>
        <w:t xml:space="preserve"> previamente a cometer el hecho ilícito,</w:t>
      </w:r>
      <w:r w:rsidR="006F0B6E" w:rsidRPr="009E3A0D">
        <w:rPr>
          <w:color w:val="000000" w:themeColor="text1"/>
          <w:sz w:val="28"/>
          <w:szCs w:val="28"/>
        </w:rPr>
        <w:t xml:space="preserve"> es también un ejemplo de </w:t>
      </w:r>
      <w:r w:rsidR="0004112F" w:rsidRPr="009E3A0D">
        <w:rPr>
          <w:color w:val="000000" w:themeColor="text1"/>
          <w:sz w:val="28"/>
          <w:szCs w:val="28"/>
        </w:rPr>
        <w:t xml:space="preserve">instrumentalización de la mujer, </w:t>
      </w:r>
      <w:r w:rsidR="00764C48" w:rsidRPr="009E3A0D">
        <w:rPr>
          <w:sz w:val="28"/>
          <w:szCs w:val="28"/>
        </w:rPr>
        <w:t>reducida a un cuerpo</w:t>
      </w:r>
      <w:r w:rsidR="00764C48">
        <w:t xml:space="preserve"> </w:t>
      </w:r>
      <w:r w:rsidR="00764C48" w:rsidRPr="009E3A0D">
        <w:rPr>
          <w:sz w:val="28"/>
          <w:szCs w:val="28"/>
        </w:rPr>
        <w:t>disponible para la satisfacción masculina. Esta conducta no constituye por sí misma una razón de género, pero coloca a la mujer en especi</w:t>
      </w:r>
      <w:r w:rsidR="0004112F" w:rsidRPr="009E3A0D">
        <w:rPr>
          <w:sz w:val="28"/>
          <w:szCs w:val="28"/>
        </w:rPr>
        <w:t xml:space="preserve">al situación de vulnerabilidad, </w:t>
      </w:r>
      <w:r w:rsidR="006F0B6E" w:rsidRPr="009E3A0D">
        <w:rPr>
          <w:color w:val="000000" w:themeColor="text1"/>
          <w:sz w:val="28"/>
          <w:szCs w:val="28"/>
        </w:rPr>
        <w:t>pues le imposibilita la solicitud de auxilio, se distingue de la incomunicación porque implica inducir a la víctima a un estado de inconsciencia.</w:t>
      </w:r>
    </w:p>
    <w:p w:rsidR="0083569C" w:rsidRDefault="0083569C" w:rsidP="005043F7">
      <w:pPr>
        <w:spacing w:line="360" w:lineRule="auto"/>
        <w:ind w:firstLine="708"/>
        <w:jc w:val="both"/>
        <w:rPr>
          <w:rFonts w:cs="Arial"/>
          <w:sz w:val="28"/>
          <w:szCs w:val="28"/>
        </w:rPr>
      </w:pPr>
      <w:r w:rsidRPr="009E3A0D">
        <w:rPr>
          <w:rFonts w:cs="Arial"/>
          <w:sz w:val="28"/>
          <w:szCs w:val="28"/>
        </w:rPr>
        <w:t>Por lo anterior expuesto</w:t>
      </w:r>
      <w:r w:rsidRPr="007643A1">
        <w:rPr>
          <w:rFonts w:cs="Arial"/>
          <w:sz w:val="28"/>
          <w:szCs w:val="28"/>
        </w:rPr>
        <w:t>, con fundamento en lo dispuesto en los artículos 36 de la Constitución Política del Estado de Yucatán; 16 y 17 de la Ley de Gobierno del Poder Legislativo del Estado de Yucatán, y 58, 68, 69 y 82 del Reglamento de la Ley de Gobierno del Poder Legislativo del Estado de Yucatán, presento ante esta So</w:t>
      </w:r>
      <w:r w:rsidR="00090E26">
        <w:rPr>
          <w:rFonts w:cs="Arial"/>
          <w:sz w:val="28"/>
          <w:szCs w:val="28"/>
        </w:rPr>
        <w:t>beranía</w:t>
      </w:r>
      <w:r w:rsidR="001D3E83">
        <w:rPr>
          <w:rFonts w:cs="Arial"/>
          <w:sz w:val="28"/>
          <w:szCs w:val="28"/>
        </w:rPr>
        <w:t xml:space="preserve"> el</w:t>
      </w:r>
      <w:r w:rsidRPr="007643A1">
        <w:rPr>
          <w:rFonts w:cs="Arial"/>
          <w:sz w:val="28"/>
          <w:szCs w:val="28"/>
        </w:rPr>
        <w:t>:</w:t>
      </w:r>
    </w:p>
    <w:p w:rsidR="00090E26" w:rsidRPr="007643A1" w:rsidRDefault="00090E26" w:rsidP="005043F7">
      <w:pPr>
        <w:spacing w:line="360" w:lineRule="auto"/>
        <w:ind w:firstLine="708"/>
        <w:jc w:val="both"/>
        <w:rPr>
          <w:rFonts w:cs="Arial"/>
          <w:sz w:val="28"/>
          <w:szCs w:val="28"/>
        </w:rPr>
      </w:pPr>
    </w:p>
    <w:p w:rsidR="0083569C" w:rsidRPr="007643A1" w:rsidRDefault="0083569C" w:rsidP="0083569C">
      <w:pPr>
        <w:spacing w:line="360" w:lineRule="auto"/>
        <w:jc w:val="both"/>
        <w:rPr>
          <w:rFonts w:cs="Arial"/>
          <w:b/>
          <w:sz w:val="28"/>
          <w:szCs w:val="28"/>
        </w:rPr>
      </w:pPr>
      <w:r w:rsidRPr="007643A1">
        <w:rPr>
          <w:rFonts w:cs="Arial"/>
          <w:b/>
          <w:sz w:val="28"/>
          <w:szCs w:val="28"/>
        </w:rPr>
        <w:t xml:space="preserve">PROYECTO DE DECRETO POR EL QUE SE REFORMAN Y </w:t>
      </w:r>
      <w:r w:rsidR="005043F7">
        <w:rPr>
          <w:rFonts w:cs="Arial"/>
          <w:b/>
          <w:sz w:val="28"/>
          <w:szCs w:val="28"/>
        </w:rPr>
        <w:t xml:space="preserve">ADICIONAN </w:t>
      </w:r>
      <w:r w:rsidRPr="007643A1">
        <w:rPr>
          <w:rFonts w:cs="Arial"/>
          <w:b/>
          <w:sz w:val="28"/>
          <w:szCs w:val="28"/>
        </w:rPr>
        <w:t>DIVERSAS DISPOSICIONES AL CÓDIGO PENAL DEL ESTADO DE YUCATÁN, EN MATERIA DE FEMINICIDIO</w:t>
      </w:r>
      <w:r w:rsidR="009E3A0D">
        <w:rPr>
          <w:sz w:val="28"/>
          <w:szCs w:val="28"/>
        </w:rPr>
        <w:t>.</w:t>
      </w:r>
    </w:p>
    <w:p w:rsidR="0083569C" w:rsidRPr="007643A1" w:rsidRDefault="0083569C" w:rsidP="0083569C">
      <w:pPr>
        <w:jc w:val="center"/>
        <w:rPr>
          <w:rFonts w:cs="Arial"/>
          <w:b/>
          <w:sz w:val="28"/>
          <w:szCs w:val="28"/>
        </w:rPr>
      </w:pPr>
      <w:r w:rsidRPr="007643A1">
        <w:rPr>
          <w:rFonts w:cs="Arial"/>
          <w:b/>
          <w:sz w:val="28"/>
          <w:szCs w:val="28"/>
        </w:rPr>
        <w:t>DECRETO</w:t>
      </w:r>
    </w:p>
    <w:p w:rsidR="0083569C" w:rsidRPr="007643A1" w:rsidRDefault="0083569C" w:rsidP="0083569C">
      <w:pPr>
        <w:jc w:val="both"/>
        <w:rPr>
          <w:rFonts w:cs="Arial"/>
          <w:b/>
          <w:sz w:val="28"/>
          <w:szCs w:val="28"/>
        </w:rPr>
      </w:pPr>
    </w:p>
    <w:p w:rsidR="0083569C" w:rsidRDefault="00044A97" w:rsidP="00E22D50">
      <w:pPr>
        <w:spacing w:after="0"/>
        <w:jc w:val="both"/>
        <w:rPr>
          <w:rFonts w:cs="Arial"/>
          <w:sz w:val="28"/>
          <w:szCs w:val="28"/>
        </w:rPr>
      </w:pPr>
      <w:r>
        <w:rPr>
          <w:rFonts w:cs="Arial"/>
          <w:b/>
          <w:sz w:val="28"/>
          <w:szCs w:val="28"/>
        </w:rPr>
        <w:t xml:space="preserve">Artículo Único. </w:t>
      </w:r>
      <w:r w:rsidRPr="000F0884">
        <w:rPr>
          <w:rFonts w:cs="Arial"/>
          <w:sz w:val="28"/>
          <w:szCs w:val="28"/>
        </w:rPr>
        <w:t>Se reforma</w:t>
      </w:r>
      <w:r w:rsidR="000F0884">
        <w:rPr>
          <w:rFonts w:cs="Arial"/>
          <w:sz w:val="28"/>
          <w:szCs w:val="28"/>
        </w:rPr>
        <w:t>n</w:t>
      </w:r>
      <w:r w:rsidR="0083569C" w:rsidRPr="000F0884">
        <w:rPr>
          <w:rFonts w:cs="Arial"/>
          <w:sz w:val="28"/>
          <w:szCs w:val="28"/>
        </w:rPr>
        <w:t>:</w:t>
      </w:r>
      <w:r w:rsidR="0083569C" w:rsidRPr="007643A1">
        <w:rPr>
          <w:rFonts w:cs="Arial"/>
          <w:b/>
          <w:sz w:val="28"/>
          <w:szCs w:val="28"/>
        </w:rPr>
        <w:t xml:space="preserve"> </w:t>
      </w:r>
      <w:r w:rsidR="0083569C" w:rsidRPr="007643A1">
        <w:rPr>
          <w:rFonts w:cs="Arial"/>
          <w:sz w:val="28"/>
          <w:szCs w:val="28"/>
        </w:rPr>
        <w:t xml:space="preserve">el </w:t>
      </w:r>
      <w:r w:rsidR="005A7B56">
        <w:rPr>
          <w:rFonts w:cs="Arial"/>
          <w:sz w:val="28"/>
          <w:szCs w:val="28"/>
        </w:rPr>
        <w:t xml:space="preserve">primer </w:t>
      </w:r>
      <w:r w:rsidR="00043ACD">
        <w:rPr>
          <w:rFonts w:cs="Arial"/>
          <w:sz w:val="28"/>
          <w:szCs w:val="28"/>
        </w:rPr>
        <w:t>párrafo,</w:t>
      </w:r>
      <w:r w:rsidR="0083569C" w:rsidRPr="007643A1">
        <w:rPr>
          <w:rFonts w:cs="Arial"/>
          <w:sz w:val="28"/>
          <w:szCs w:val="28"/>
        </w:rPr>
        <w:t xml:space="preserve"> </w:t>
      </w:r>
      <w:r w:rsidR="00E22D50">
        <w:rPr>
          <w:rFonts w:cs="Arial"/>
          <w:sz w:val="28"/>
          <w:szCs w:val="28"/>
        </w:rPr>
        <w:t xml:space="preserve">las fracciones III, V, VI, VIII y </w:t>
      </w:r>
      <w:r w:rsidR="00043ACD">
        <w:rPr>
          <w:rFonts w:cs="Arial"/>
          <w:sz w:val="28"/>
          <w:szCs w:val="28"/>
        </w:rPr>
        <w:t xml:space="preserve">se adiciona </w:t>
      </w:r>
      <w:r w:rsidR="00E22D50">
        <w:rPr>
          <w:rFonts w:cs="Arial"/>
          <w:sz w:val="28"/>
          <w:szCs w:val="28"/>
        </w:rPr>
        <w:t>un tercer párrafo</w:t>
      </w:r>
      <w:r w:rsidR="0028312E">
        <w:rPr>
          <w:rFonts w:cs="Arial"/>
          <w:sz w:val="28"/>
          <w:szCs w:val="28"/>
        </w:rPr>
        <w:t>, todos del artículo 394 Quinquies</w:t>
      </w:r>
      <w:r w:rsidR="00E22D50">
        <w:rPr>
          <w:rFonts w:ascii="Arial" w:hAnsi="Arial" w:cs="Arial"/>
          <w:sz w:val="24"/>
          <w:szCs w:val="28"/>
        </w:rPr>
        <w:t xml:space="preserve"> </w:t>
      </w:r>
      <w:r w:rsidR="0083569C" w:rsidRPr="007643A1">
        <w:rPr>
          <w:rFonts w:cs="Arial"/>
          <w:sz w:val="28"/>
          <w:szCs w:val="28"/>
        </w:rPr>
        <w:t>del Código Penal del Estado De Yucatán, para quedar como sigue:</w:t>
      </w:r>
    </w:p>
    <w:p w:rsidR="00BB0710" w:rsidRPr="00582095" w:rsidRDefault="00BB0710" w:rsidP="0083569C">
      <w:pPr>
        <w:jc w:val="both"/>
        <w:rPr>
          <w:rFonts w:cs="Arial"/>
          <w:sz w:val="28"/>
          <w:szCs w:val="28"/>
        </w:rPr>
      </w:pPr>
    </w:p>
    <w:p w:rsidR="009E3A0D" w:rsidRPr="00582095" w:rsidRDefault="009E3A0D" w:rsidP="009E3A0D">
      <w:pPr>
        <w:spacing w:line="360" w:lineRule="auto"/>
        <w:jc w:val="both"/>
        <w:rPr>
          <w:rFonts w:cs="Arial"/>
          <w:sz w:val="28"/>
          <w:szCs w:val="28"/>
        </w:rPr>
      </w:pPr>
      <w:r w:rsidRPr="00582095">
        <w:rPr>
          <w:rFonts w:cs="Arial"/>
          <w:b/>
          <w:bCs/>
          <w:sz w:val="28"/>
          <w:szCs w:val="28"/>
        </w:rPr>
        <w:t>Artículo 394 Quinquies.-</w:t>
      </w:r>
      <w:r w:rsidRPr="00582095">
        <w:rPr>
          <w:rFonts w:cs="Arial"/>
          <w:sz w:val="28"/>
          <w:szCs w:val="28"/>
        </w:rPr>
        <w:t xml:space="preserve"> Comete el delito de feminicidio quien dolosamente prive de la vida a una mujer por </w:t>
      </w:r>
      <w:r w:rsidRPr="00582095">
        <w:rPr>
          <w:rFonts w:cs="Arial"/>
          <w:b/>
          <w:sz w:val="28"/>
          <w:szCs w:val="28"/>
        </w:rPr>
        <w:t>una razón de género.</w:t>
      </w:r>
      <w:r w:rsidRPr="00582095">
        <w:rPr>
          <w:rFonts w:cs="Arial"/>
          <w:sz w:val="28"/>
          <w:szCs w:val="28"/>
        </w:rPr>
        <w:t xml:space="preserve"> Se considera que existen razones de género cuando concurra </w:t>
      </w:r>
      <w:r w:rsidRPr="00582095">
        <w:rPr>
          <w:rFonts w:cs="Arial"/>
          <w:b/>
          <w:sz w:val="28"/>
          <w:szCs w:val="28"/>
        </w:rPr>
        <w:t xml:space="preserve">cualquiera </w:t>
      </w:r>
      <w:r w:rsidRPr="00582095">
        <w:rPr>
          <w:rFonts w:cs="Arial"/>
          <w:sz w:val="28"/>
          <w:szCs w:val="28"/>
        </w:rPr>
        <w:t>de las circunstancias siguientes:</w:t>
      </w:r>
    </w:p>
    <w:p w:rsidR="009E3A0D" w:rsidRDefault="009E3A0D" w:rsidP="009E3A0D">
      <w:pPr>
        <w:pStyle w:val="Prrafodelista"/>
        <w:numPr>
          <w:ilvl w:val="0"/>
          <w:numId w:val="1"/>
        </w:numPr>
        <w:spacing w:line="360" w:lineRule="auto"/>
        <w:jc w:val="both"/>
        <w:rPr>
          <w:rFonts w:cs="Arial"/>
          <w:sz w:val="28"/>
          <w:szCs w:val="28"/>
        </w:rPr>
      </w:pPr>
      <w:r w:rsidRPr="00582095">
        <w:rPr>
          <w:rFonts w:cs="Arial"/>
          <w:sz w:val="28"/>
          <w:szCs w:val="28"/>
        </w:rPr>
        <w:t xml:space="preserve">... </w:t>
      </w:r>
    </w:p>
    <w:p w:rsidR="006C2E74" w:rsidRPr="006C2E74" w:rsidRDefault="006C2E74" w:rsidP="006C2E74">
      <w:pPr>
        <w:pStyle w:val="Prrafodelista"/>
        <w:spacing w:line="360" w:lineRule="auto"/>
        <w:ind w:left="1080"/>
        <w:jc w:val="both"/>
        <w:rPr>
          <w:rFonts w:cs="Arial"/>
          <w:sz w:val="28"/>
          <w:szCs w:val="28"/>
        </w:rPr>
      </w:pPr>
    </w:p>
    <w:p w:rsidR="009E3A0D" w:rsidRDefault="009E3A0D" w:rsidP="006C2E74">
      <w:pPr>
        <w:pStyle w:val="Prrafodelista"/>
        <w:numPr>
          <w:ilvl w:val="0"/>
          <w:numId w:val="1"/>
        </w:numPr>
        <w:spacing w:line="360" w:lineRule="auto"/>
        <w:jc w:val="both"/>
        <w:rPr>
          <w:rFonts w:cs="Arial"/>
          <w:sz w:val="28"/>
          <w:szCs w:val="28"/>
        </w:rPr>
      </w:pPr>
      <w:r w:rsidRPr="00582095">
        <w:rPr>
          <w:rFonts w:cs="Arial"/>
          <w:sz w:val="28"/>
          <w:szCs w:val="28"/>
        </w:rPr>
        <w:t xml:space="preserve">... </w:t>
      </w:r>
    </w:p>
    <w:p w:rsidR="006C2E74" w:rsidRPr="006C2E74" w:rsidRDefault="006C2E74" w:rsidP="006C2E74">
      <w:pPr>
        <w:pStyle w:val="Prrafodelista"/>
        <w:rPr>
          <w:rFonts w:cs="Arial"/>
          <w:sz w:val="28"/>
          <w:szCs w:val="28"/>
        </w:rPr>
      </w:pPr>
    </w:p>
    <w:p w:rsidR="006C2E74" w:rsidRPr="006C2E74" w:rsidRDefault="006C2E74" w:rsidP="006C2E74">
      <w:pPr>
        <w:pStyle w:val="Prrafodelista"/>
        <w:spacing w:line="360" w:lineRule="auto"/>
        <w:ind w:left="1080"/>
        <w:jc w:val="both"/>
        <w:rPr>
          <w:rFonts w:cs="Arial"/>
          <w:sz w:val="28"/>
          <w:szCs w:val="28"/>
        </w:rPr>
      </w:pPr>
    </w:p>
    <w:p w:rsidR="009E3A0D" w:rsidRPr="00582095" w:rsidRDefault="009E3A0D" w:rsidP="009E3A0D">
      <w:pPr>
        <w:pStyle w:val="Prrafodelista"/>
        <w:numPr>
          <w:ilvl w:val="0"/>
          <w:numId w:val="1"/>
        </w:numPr>
        <w:spacing w:line="360" w:lineRule="auto"/>
        <w:jc w:val="both"/>
        <w:rPr>
          <w:rFonts w:cs="Arial"/>
          <w:sz w:val="28"/>
          <w:szCs w:val="28"/>
        </w:rPr>
      </w:pPr>
      <w:r w:rsidRPr="00582095">
        <w:rPr>
          <w:rFonts w:cs="Arial"/>
          <w:sz w:val="28"/>
          <w:szCs w:val="28"/>
        </w:rPr>
        <w:t xml:space="preserve">Existan antecedentes de violencia familiar, laboral, </w:t>
      </w:r>
      <w:r w:rsidRPr="00582095">
        <w:rPr>
          <w:rFonts w:cs="Arial"/>
          <w:b/>
          <w:sz w:val="28"/>
          <w:szCs w:val="28"/>
        </w:rPr>
        <w:t xml:space="preserve">comunitaria, político, </w:t>
      </w:r>
      <w:r w:rsidRPr="00582095">
        <w:rPr>
          <w:rFonts w:cs="Arial"/>
          <w:sz w:val="28"/>
          <w:szCs w:val="28"/>
        </w:rPr>
        <w:t>escolar,</w:t>
      </w:r>
      <w:r w:rsidRPr="00582095">
        <w:rPr>
          <w:rFonts w:cs="Arial"/>
          <w:b/>
          <w:sz w:val="28"/>
          <w:szCs w:val="28"/>
        </w:rPr>
        <w:t xml:space="preserve"> </w:t>
      </w:r>
      <w:r w:rsidRPr="00582095">
        <w:rPr>
          <w:rFonts w:cs="Arial"/>
          <w:sz w:val="28"/>
          <w:szCs w:val="28"/>
        </w:rPr>
        <w:t xml:space="preserve">motivada por razones de género, del sujeto activo en contra de la víctima. </w:t>
      </w:r>
    </w:p>
    <w:p w:rsidR="009E3A0D" w:rsidRPr="00582095" w:rsidRDefault="009E3A0D" w:rsidP="009E3A0D">
      <w:pPr>
        <w:jc w:val="both"/>
        <w:rPr>
          <w:b/>
          <w:sz w:val="28"/>
          <w:szCs w:val="28"/>
        </w:rPr>
      </w:pPr>
    </w:p>
    <w:p w:rsidR="009E3A0D" w:rsidRPr="00582095" w:rsidRDefault="009E3A0D" w:rsidP="009E3A0D">
      <w:pPr>
        <w:pStyle w:val="Prrafodelista"/>
        <w:numPr>
          <w:ilvl w:val="0"/>
          <w:numId w:val="1"/>
        </w:numPr>
        <w:spacing w:line="360" w:lineRule="auto"/>
        <w:jc w:val="both"/>
        <w:rPr>
          <w:rFonts w:cs="Arial"/>
          <w:sz w:val="28"/>
          <w:szCs w:val="28"/>
        </w:rPr>
      </w:pPr>
      <w:r w:rsidRPr="00582095">
        <w:rPr>
          <w:rFonts w:cs="Arial"/>
          <w:sz w:val="28"/>
          <w:szCs w:val="28"/>
        </w:rPr>
        <w:t xml:space="preserve">... </w:t>
      </w:r>
    </w:p>
    <w:p w:rsidR="009E3A0D" w:rsidRPr="00582095" w:rsidRDefault="009E3A0D" w:rsidP="009E3A0D">
      <w:pPr>
        <w:pStyle w:val="Prrafodelista"/>
        <w:rPr>
          <w:rFonts w:cs="Arial"/>
          <w:sz w:val="28"/>
          <w:szCs w:val="28"/>
        </w:rPr>
      </w:pPr>
    </w:p>
    <w:p w:rsidR="009E3A0D" w:rsidRPr="00582095" w:rsidRDefault="009E3A0D" w:rsidP="009E3A0D">
      <w:pPr>
        <w:pStyle w:val="Prrafodelista"/>
        <w:spacing w:line="360" w:lineRule="auto"/>
        <w:ind w:left="1080"/>
        <w:jc w:val="both"/>
        <w:rPr>
          <w:rFonts w:cs="Arial"/>
          <w:sz w:val="28"/>
          <w:szCs w:val="28"/>
        </w:rPr>
      </w:pPr>
    </w:p>
    <w:p w:rsidR="009E3A0D" w:rsidRPr="00582095" w:rsidRDefault="009E3A0D" w:rsidP="009E3A0D">
      <w:pPr>
        <w:pStyle w:val="Prrafodelista"/>
        <w:rPr>
          <w:rFonts w:cs="Arial"/>
          <w:sz w:val="28"/>
          <w:szCs w:val="28"/>
        </w:rPr>
      </w:pPr>
    </w:p>
    <w:p w:rsidR="009E3A0D" w:rsidRPr="00582095" w:rsidRDefault="009E3A0D" w:rsidP="009E3A0D">
      <w:pPr>
        <w:pStyle w:val="Prrafodelista"/>
        <w:numPr>
          <w:ilvl w:val="0"/>
          <w:numId w:val="1"/>
        </w:numPr>
        <w:spacing w:line="360" w:lineRule="auto"/>
        <w:jc w:val="both"/>
        <w:rPr>
          <w:rFonts w:cs="Arial"/>
          <w:sz w:val="28"/>
          <w:szCs w:val="28"/>
        </w:rPr>
      </w:pPr>
      <w:r w:rsidRPr="00582095">
        <w:rPr>
          <w:rFonts w:cs="Arial"/>
          <w:sz w:val="28"/>
          <w:szCs w:val="28"/>
        </w:rPr>
        <w:t xml:space="preserve">Haya existido entre el sujeto activo y la víctima </w:t>
      </w:r>
      <w:r w:rsidRPr="00582095">
        <w:rPr>
          <w:rFonts w:cs="Arial"/>
          <w:b/>
          <w:sz w:val="28"/>
          <w:szCs w:val="28"/>
        </w:rPr>
        <w:t xml:space="preserve">parentesco por consanguinidad o afinidad </w:t>
      </w:r>
      <w:r w:rsidRPr="00582095">
        <w:rPr>
          <w:rFonts w:cs="Arial"/>
          <w:sz w:val="28"/>
          <w:szCs w:val="28"/>
        </w:rPr>
        <w:t xml:space="preserve">o una relación sentimental, afectiva, </w:t>
      </w:r>
      <w:r w:rsidRPr="00582095">
        <w:rPr>
          <w:rFonts w:cs="Arial"/>
          <w:b/>
          <w:sz w:val="28"/>
          <w:szCs w:val="28"/>
        </w:rPr>
        <w:lastRenderedPageBreak/>
        <w:t>laboral, docente,</w:t>
      </w:r>
      <w:r w:rsidRPr="00582095">
        <w:rPr>
          <w:rFonts w:cs="Arial"/>
          <w:sz w:val="28"/>
          <w:szCs w:val="28"/>
        </w:rPr>
        <w:t xml:space="preserve"> de confianza, </w:t>
      </w:r>
      <w:r w:rsidRPr="00582095">
        <w:rPr>
          <w:rFonts w:cs="Arial"/>
          <w:b/>
          <w:sz w:val="28"/>
          <w:szCs w:val="28"/>
        </w:rPr>
        <w:t>o de alguna otra que evidencia desigualdad o abuso de poder entre el agresor y la víctima.</w:t>
      </w:r>
    </w:p>
    <w:p w:rsidR="009E3A0D" w:rsidRPr="00582095" w:rsidRDefault="009E3A0D" w:rsidP="009E3A0D">
      <w:pPr>
        <w:pStyle w:val="Prrafodelista"/>
        <w:spacing w:line="360" w:lineRule="auto"/>
        <w:ind w:left="1080"/>
        <w:jc w:val="both"/>
        <w:rPr>
          <w:rFonts w:cs="Arial"/>
          <w:sz w:val="28"/>
          <w:szCs w:val="28"/>
        </w:rPr>
      </w:pPr>
    </w:p>
    <w:p w:rsidR="009E3A0D" w:rsidRPr="00582095" w:rsidRDefault="009E3A0D" w:rsidP="009E3A0D">
      <w:pPr>
        <w:pStyle w:val="Prrafodelista"/>
        <w:spacing w:line="360" w:lineRule="auto"/>
        <w:ind w:left="1080"/>
        <w:jc w:val="both"/>
        <w:rPr>
          <w:rFonts w:cs="Arial"/>
          <w:sz w:val="28"/>
          <w:szCs w:val="28"/>
        </w:rPr>
      </w:pPr>
    </w:p>
    <w:p w:rsidR="009E3A0D" w:rsidRPr="00582095" w:rsidRDefault="009E3A0D" w:rsidP="009E3A0D">
      <w:pPr>
        <w:pStyle w:val="Prrafodelista"/>
        <w:numPr>
          <w:ilvl w:val="0"/>
          <w:numId w:val="1"/>
        </w:numPr>
        <w:spacing w:line="360" w:lineRule="auto"/>
        <w:jc w:val="both"/>
        <w:rPr>
          <w:rFonts w:cs="Arial"/>
          <w:sz w:val="28"/>
          <w:szCs w:val="28"/>
        </w:rPr>
      </w:pPr>
      <w:r w:rsidRPr="00582095">
        <w:rPr>
          <w:rFonts w:cs="Arial"/>
          <w:sz w:val="28"/>
          <w:szCs w:val="28"/>
        </w:rPr>
        <w:t xml:space="preserve">Existan datos que establezcan que hubo amenazas </w:t>
      </w:r>
      <w:r w:rsidRPr="00582095">
        <w:rPr>
          <w:rFonts w:cs="Arial"/>
          <w:b/>
          <w:sz w:val="28"/>
          <w:szCs w:val="28"/>
        </w:rPr>
        <w:t xml:space="preserve">directas o indirectas </w:t>
      </w:r>
      <w:r w:rsidRPr="00582095">
        <w:rPr>
          <w:rFonts w:cs="Arial"/>
          <w:sz w:val="28"/>
          <w:szCs w:val="28"/>
        </w:rPr>
        <w:t>relacionadas con el hecho delictuoso, acoso o lesiones del sujeto activo en contra de la víctima.</w:t>
      </w:r>
    </w:p>
    <w:p w:rsidR="009E3A0D" w:rsidRPr="00582095" w:rsidRDefault="009E3A0D" w:rsidP="009E3A0D">
      <w:pPr>
        <w:spacing w:line="360" w:lineRule="auto"/>
        <w:jc w:val="both"/>
        <w:rPr>
          <w:rFonts w:cs="Arial"/>
          <w:sz w:val="28"/>
          <w:szCs w:val="28"/>
        </w:rPr>
      </w:pPr>
    </w:p>
    <w:p w:rsidR="00DF4630" w:rsidRPr="00582095" w:rsidRDefault="009E3A0D" w:rsidP="00DF4630">
      <w:pPr>
        <w:pStyle w:val="Prrafodelista"/>
        <w:numPr>
          <w:ilvl w:val="0"/>
          <w:numId w:val="1"/>
        </w:numPr>
        <w:spacing w:line="360" w:lineRule="auto"/>
        <w:jc w:val="both"/>
        <w:rPr>
          <w:rFonts w:cs="Arial"/>
          <w:sz w:val="28"/>
          <w:szCs w:val="28"/>
        </w:rPr>
      </w:pPr>
      <w:r w:rsidRPr="00582095">
        <w:rPr>
          <w:rFonts w:cs="Arial"/>
          <w:sz w:val="28"/>
          <w:szCs w:val="28"/>
        </w:rPr>
        <w:t>...</w:t>
      </w:r>
    </w:p>
    <w:p w:rsidR="00DF4630" w:rsidRPr="00582095" w:rsidRDefault="00DF4630" w:rsidP="00DF4630">
      <w:pPr>
        <w:pStyle w:val="Prrafodelista"/>
        <w:rPr>
          <w:rFonts w:cs="Arial"/>
          <w:sz w:val="28"/>
          <w:szCs w:val="28"/>
        </w:rPr>
      </w:pPr>
    </w:p>
    <w:p w:rsidR="00DF4630" w:rsidRPr="00582095" w:rsidRDefault="00DF4630" w:rsidP="00DF4630">
      <w:pPr>
        <w:pStyle w:val="Prrafodelista"/>
        <w:spacing w:line="360" w:lineRule="auto"/>
        <w:ind w:left="1080"/>
        <w:jc w:val="both"/>
        <w:rPr>
          <w:rFonts w:cs="Arial"/>
          <w:sz w:val="28"/>
          <w:szCs w:val="28"/>
        </w:rPr>
      </w:pPr>
    </w:p>
    <w:p w:rsidR="00DF4630" w:rsidRPr="00582095" w:rsidRDefault="00DF4630" w:rsidP="00DF4630">
      <w:pPr>
        <w:pStyle w:val="Prrafodelista"/>
        <w:rPr>
          <w:rFonts w:cs="Arial"/>
          <w:sz w:val="28"/>
          <w:szCs w:val="28"/>
        </w:rPr>
      </w:pPr>
    </w:p>
    <w:p w:rsidR="009E3A0D" w:rsidRPr="00582095" w:rsidRDefault="009E3A0D" w:rsidP="009E3A0D">
      <w:pPr>
        <w:pStyle w:val="Prrafodelista"/>
        <w:numPr>
          <w:ilvl w:val="0"/>
          <w:numId w:val="1"/>
        </w:numPr>
        <w:spacing w:line="360" w:lineRule="auto"/>
        <w:jc w:val="both"/>
        <w:rPr>
          <w:rFonts w:cs="Arial"/>
          <w:sz w:val="28"/>
          <w:szCs w:val="28"/>
        </w:rPr>
      </w:pPr>
      <w:r w:rsidRPr="00582095">
        <w:rPr>
          <w:rFonts w:cs="Arial"/>
          <w:sz w:val="28"/>
          <w:szCs w:val="28"/>
        </w:rPr>
        <w:t xml:space="preserve">El cuerpo de la víctima sea expuesto, </w:t>
      </w:r>
      <w:r w:rsidRPr="00582095">
        <w:rPr>
          <w:rFonts w:cs="Arial"/>
          <w:b/>
          <w:sz w:val="28"/>
          <w:szCs w:val="28"/>
        </w:rPr>
        <w:t>arrojado, depositado</w:t>
      </w:r>
      <w:r w:rsidRPr="00582095">
        <w:rPr>
          <w:rFonts w:cs="Arial"/>
          <w:sz w:val="28"/>
          <w:szCs w:val="28"/>
        </w:rPr>
        <w:t xml:space="preserve"> o exhibido en un lugar público.</w:t>
      </w:r>
    </w:p>
    <w:p w:rsidR="009E3A0D" w:rsidRPr="00582095" w:rsidRDefault="009E3A0D" w:rsidP="009E3A0D">
      <w:pPr>
        <w:spacing w:line="360" w:lineRule="auto"/>
        <w:jc w:val="both"/>
        <w:rPr>
          <w:rFonts w:cs="Arial"/>
          <w:sz w:val="28"/>
          <w:szCs w:val="28"/>
        </w:rPr>
      </w:pPr>
    </w:p>
    <w:p w:rsidR="009E3A0D" w:rsidRPr="00582095" w:rsidRDefault="006C2E74" w:rsidP="009E3A0D">
      <w:pPr>
        <w:spacing w:line="360" w:lineRule="auto"/>
        <w:jc w:val="both"/>
        <w:rPr>
          <w:rFonts w:cs="Arial"/>
          <w:sz w:val="28"/>
          <w:szCs w:val="28"/>
        </w:rPr>
      </w:pPr>
      <w:r>
        <w:rPr>
          <w:rFonts w:cs="Arial"/>
          <w:sz w:val="28"/>
          <w:szCs w:val="28"/>
        </w:rPr>
        <w:t>…</w:t>
      </w:r>
    </w:p>
    <w:p w:rsidR="00881D75" w:rsidRPr="00582095" w:rsidRDefault="0058548C" w:rsidP="009E3A0D">
      <w:pPr>
        <w:spacing w:line="360" w:lineRule="auto"/>
        <w:jc w:val="both"/>
        <w:rPr>
          <w:rFonts w:cs="Arial"/>
          <w:sz w:val="28"/>
          <w:szCs w:val="28"/>
        </w:rPr>
      </w:pPr>
      <w:r w:rsidRPr="00582095">
        <w:rPr>
          <w:rFonts w:cs="Arial"/>
          <w:b/>
          <w:sz w:val="28"/>
          <w:szCs w:val="28"/>
        </w:rPr>
        <w:t>L</w:t>
      </w:r>
      <w:r w:rsidR="009E3A0D" w:rsidRPr="00582095">
        <w:rPr>
          <w:rFonts w:cs="Arial"/>
          <w:b/>
          <w:sz w:val="28"/>
          <w:szCs w:val="28"/>
        </w:rPr>
        <w:t>as penas previstas se incrementarán hasta en una tercera parte en su mínimo y máximo si el delito fuere cometido previa suministración de estupefacientes o psicotrópicos para causar la inconsciencia de la víctima</w:t>
      </w:r>
      <w:r w:rsidR="009E3A0D" w:rsidRPr="00582095">
        <w:rPr>
          <w:rFonts w:cs="Arial"/>
          <w:sz w:val="28"/>
          <w:szCs w:val="28"/>
        </w:rPr>
        <w:t>.</w:t>
      </w:r>
    </w:p>
    <w:p w:rsidR="00881D75" w:rsidRDefault="006C2E74" w:rsidP="009E3A0D">
      <w:pPr>
        <w:spacing w:line="360" w:lineRule="auto"/>
        <w:jc w:val="both"/>
        <w:rPr>
          <w:rFonts w:cs="Arial"/>
          <w:sz w:val="28"/>
          <w:szCs w:val="28"/>
        </w:rPr>
      </w:pPr>
      <w:r>
        <w:rPr>
          <w:rFonts w:cs="Arial"/>
          <w:sz w:val="28"/>
          <w:szCs w:val="28"/>
        </w:rPr>
        <w:t>…</w:t>
      </w:r>
    </w:p>
    <w:p w:rsidR="006C2E74" w:rsidRDefault="006C2E74" w:rsidP="009E3A0D">
      <w:pPr>
        <w:spacing w:line="360" w:lineRule="auto"/>
        <w:jc w:val="both"/>
        <w:rPr>
          <w:rFonts w:cs="Arial"/>
          <w:sz w:val="28"/>
          <w:szCs w:val="28"/>
        </w:rPr>
      </w:pPr>
      <w:r>
        <w:rPr>
          <w:rFonts w:cs="Arial"/>
          <w:sz w:val="28"/>
          <w:szCs w:val="28"/>
        </w:rPr>
        <w:t>…</w:t>
      </w:r>
    </w:p>
    <w:p w:rsidR="00BB0710" w:rsidRPr="00582095" w:rsidRDefault="006C2E74" w:rsidP="006C2E74">
      <w:pPr>
        <w:spacing w:line="360" w:lineRule="auto"/>
        <w:jc w:val="both"/>
        <w:rPr>
          <w:rFonts w:cs="Arial"/>
          <w:sz w:val="28"/>
          <w:szCs w:val="28"/>
        </w:rPr>
      </w:pPr>
      <w:r>
        <w:rPr>
          <w:rFonts w:cs="Arial"/>
          <w:sz w:val="28"/>
          <w:szCs w:val="28"/>
        </w:rPr>
        <w:lastRenderedPageBreak/>
        <w:t>…</w:t>
      </w:r>
    </w:p>
    <w:p w:rsidR="0083569C" w:rsidRPr="00582095" w:rsidRDefault="0083569C" w:rsidP="0083569C">
      <w:pPr>
        <w:spacing w:line="360" w:lineRule="auto"/>
        <w:jc w:val="center"/>
        <w:rPr>
          <w:rFonts w:eastAsia="Calibri" w:cs="Arial"/>
          <w:b/>
          <w:sz w:val="28"/>
          <w:szCs w:val="28"/>
        </w:rPr>
      </w:pPr>
      <w:r w:rsidRPr="00582095">
        <w:rPr>
          <w:rFonts w:eastAsia="Calibri" w:cs="Arial"/>
          <w:b/>
          <w:sz w:val="28"/>
          <w:szCs w:val="28"/>
        </w:rPr>
        <w:t>TRANSITORIOS</w:t>
      </w:r>
    </w:p>
    <w:p w:rsidR="0083569C" w:rsidRPr="00582095" w:rsidRDefault="0083569C" w:rsidP="0083569C">
      <w:pPr>
        <w:spacing w:line="360" w:lineRule="auto"/>
        <w:jc w:val="both"/>
        <w:rPr>
          <w:rFonts w:eastAsia="Calibri" w:cs="Arial"/>
          <w:sz w:val="28"/>
          <w:szCs w:val="28"/>
        </w:rPr>
      </w:pPr>
      <w:r w:rsidRPr="00582095">
        <w:rPr>
          <w:rFonts w:eastAsia="Calibri" w:cs="Arial"/>
          <w:b/>
          <w:sz w:val="28"/>
          <w:szCs w:val="28"/>
        </w:rPr>
        <w:t>ARTÍCULO PRIMERO.-</w:t>
      </w:r>
      <w:r w:rsidRPr="00582095">
        <w:rPr>
          <w:rFonts w:eastAsia="Calibri" w:cs="Arial"/>
          <w:sz w:val="28"/>
          <w:szCs w:val="28"/>
        </w:rPr>
        <w:t xml:space="preserve"> El presente decreto entrará en vigor el día siguiente al de su publicación en el Diario Oficial del Estado.</w:t>
      </w:r>
    </w:p>
    <w:p w:rsidR="0083569C" w:rsidRPr="00582095" w:rsidRDefault="0083569C" w:rsidP="0083569C">
      <w:pPr>
        <w:spacing w:line="360" w:lineRule="auto"/>
        <w:jc w:val="both"/>
        <w:rPr>
          <w:rFonts w:eastAsia="Calibri" w:cs="Arial"/>
          <w:sz w:val="28"/>
          <w:szCs w:val="28"/>
        </w:rPr>
      </w:pPr>
      <w:r w:rsidRPr="00582095">
        <w:rPr>
          <w:rFonts w:eastAsia="Calibri" w:cs="Arial"/>
          <w:b/>
          <w:sz w:val="28"/>
          <w:szCs w:val="28"/>
        </w:rPr>
        <w:t>ARTÍCULO SEGUNDO.-</w:t>
      </w:r>
      <w:r w:rsidRPr="00582095">
        <w:rPr>
          <w:rFonts w:eastAsia="Calibri" w:cs="Arial"/>
          <w:sz w:val="28"/>
          <w:szCs w:val="28"/>
        </w:rPr>
        <w:t xml:space="preserve"> Se derogan todas aquellas disposiciones de igual o menor jerarquía, que se oponga al presente decreto.</w:t>
      </w:r>
    </w:p>
    <w:p w:rsidR="0083569C" w:rsidRPr="00582095" w:rsidRDefault="0083569C" w:rsidP="0083569C">
      <w:pPr>
        <w:spacing w:line="360" w:lineRule="auto"/>
        <w:ind w:left="405"/>
        <w:jc w:val="both"/>
        <w:rPr>
          <w:rFonts w:cs="Arial"/>
          <w:sz w:val="28"/>
          <w:szCs w:val="28"/>
        </w:rPr>
      </w:pPr>
    </w:p>
    <w:p w:rsidR="0083569C" w:rsidRPr="00582095" w:rsidRDefault="0083569C" w:rsidP="0083569C">
      <w:pPr>
        <w:spacing w:line="360" w:lineRule="auto"/>
        <w:jc w:val="both"/>
        <w:rPr>
          <w:rFonts w:cs="Arial"/>
          <w:sz w:val="28"/>
          <w:szCs w:val="28"/>
        </w:rPr>
      </w:pPr>
      <w:r w:rsidRPr="00582095">
        <w:rPr>
          <w:rFonts w:cs="Arial"/>
          <w:b/>
          <w:sz w:val="28"/>
          <w:szCs w:val="28"/>
        </w:rPr>
        <w:t xml:space="preserve">PROTESTAMOS LO NECESARIO EN LA CIUDAD DE MÉRIDA, YUCATÁN A LOS </w:t>
      </w:r>
      <w:r w:rsidR="00061373">
        <w:rPr>
          <w:rFonts w:cs="Arial"/>
          <w:b/>
          <w:sz w:val="28"/>
          <w:szCs w:val="28"/>
        </w:rPr>
        <w:t>09</w:t>
      </w:r>
      <w:r w:rsidRPr="00582095">
        <w:rPr>
          <w:rFonts w:cs="Arial"/>
          <w:b/>
          <w:sz w:val="28"/>
          <w:szCs w:val="28"/>
        </w:rPr>
        <w:t xml:space="preserve"> DÍAS DEL MES DE </w:t>
      </w:r>
      <w:r w:rsidR="00061373">
        <w:rPr>
          <w:rFonts w:cs="Arial"/>
          <w:b/>
          <w:sz w:val="28"/>
          <w:szCs w:val="28"/>
        </w:rPr>
        <w:t>SEPTIEMBRE</w:t>
      </w:r>
      <w:r w:rsidRPr="00582095">
        <w:rPr>
          <w:rFonts w:cs="Arial"/>
          <w:b/>
          <w:sz w:val="28"/>
          <w:szCs w:val="28"/>
        </w:rPr>
        <w:t xml:space="preserve"> DE 2020.</w:t>
      </w:r>
    </w:p>
    <w:p w:rsidR="0083569C" w:rsidRPr="00582095" w:rsidRDefault="0083569C" w:rsidP="0083569C">
      <w:pPr>
        <w:spacing w:after="0" w:line="360" w:lineRule="auto"/>
        <w:jc w:val="both"/>
        <w:rPr>
          <w:rFonts w:cs="Arial"/>
          <w:sz w:val="28"/>
          <w:szCs w:val="28"/>
        </w:rPr>
      </w:pPr>
    </w:p>
    <w:p w:rsidR="0083569C" w:rsidRPr="00582095" w:rsidRDefault="0083569C" w:rsidP="0083569C">
      <w:pPr>
        <w:autoSpaceDE w:val="0"/>
        <w:autoSpaceDN w:val="0"/>
        <w:adjustRightInd w:val="0"/>
        <w:spacing w:after="0" w:line="360" w:lineRule="auto"/>
        <w:jc w:val="center"/>
        <w:rPr>
          <w:rFonts w:cs="Arial"/>
          <w:b/>
          <w:sz w:val="28"/>
          <w:szCs w:val="28"/>
          <w:lang w:val="es-ES"/>
        </w:rPr>
      </w:pPr>
      <w:r w:rsidRPr="00582095">
        <w:rPr>
          <w:rFonts w:cs="Arial"/>
          <w:b/>
          <w:sz w:val="28"/>
          <w:szCs w:val="28"/>
          <w:lang w:val="es-ES"/>
        </w:rPr>
        <w:t>ATENTAMENTE</w:t>
      </w:r>
    </w:p>
    <w:p w:rsidR="0083569C" w:rsidRDefault="0083569C" w:rsidP="0083569C">
      <w:pPr>
        <w:autoSpaceDE w:val="0"/>
        <w:autoSpaceDN w:val="0"/>
        <w:adjustRightInd w:val="0"/>
        <w:spacing w:after="0" w:line="360" w:lineRule="auto"/>
        <w:jc w:val="center"/>
        <w:rPr>
          <w:rFonts w:cs="Arial"/>
          <w:b/>
          <w:sz w:val="28"/>
          <w:szCs w:val="28"/>
          <w:lang w:val="es-ES"/>
        </w:rPr>
      </w:pPr>
      <w:r w:rsidRPr="00582095">
        <w:rPr>
          <w:rFonts w:cs="Arial"/>
          <w:b/>
          <w:sz w:val="28"/>
          <w:szCs w:val="28"/>
          <w:lang w:val="es-ES"/>
        </w:rPr>
        <w:t>FRACCIÓN PARLAMENTARIA DE MOVIMIENTO CIUDADANO</w:t>
      </w:r>
    </w:p>
    <w:p w:rsidR="0083569C" w:rsidRPr="00582095" w:rsidRDefault="0083569C" w:rsidP="0083569C">
      <w:pPr>
        <w:autoSpaceDE w:val="0"/>
        <w:autoSpaceDN w:val="0"/>
        <w:adjustRightInd w:val="0"/>
        <w:spacing w:after="0" w:line="360" w:lineRule="auto"/>
        <w:jc w:val="center"/>
        <w:rPr>
          <w:rFonts w:cs="Arial"/>
          <w:b/>
          <w:sz w:val="28"/>
          <w:szCs w:val="28"/>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83569C" w:rsidRPr="00582095" w:rsidTr="00F14D13">
        <w:tc>
          <w:tcPr>
            <w:tcW w:w="4414" w:type="dxa"/>
          </w:tcPr>
          <w:p w:rsidR="0083569C" w:rsidRPr="00582095" w:rsidRDefault="0083569C" w:rsidP="00F14D13">
            <w:pPr>
              <w:spacing w:line="360" w:lineRule="auto"/>
              <w:jc w:val="center"/>
              <w:rPr>
                <w:rStyle w:val="CharAttribute12"/>
                <w:rFonts w:asciiTheme="minorHAnsi" w:eastAsia="Batang" w:cs="Arial"/>
                <w:sz w:val="28"/>
                <w:szCs w:val="28"/>
              </w:rPr>
            </w:pPr>
            <w:r w:rsidRPr="00582095">
              <w:rPr>
                <w:rStyle w:val="CharAttribute12"/>
                <w:rFonts w:asciiTheme="minorHAnsi" w:eastAsia="Batang" w:cs="Arial"/>
                <w:sz w:val="28"/>
                <w:szCs w:val="28"/>
              </w:rPr>
              <w:t>DIPUTADA</w:t>
            </w:r>
          </w:p>
        </w:tc>
        <w:tc>
          <w:tcPr>
            <w:tcW w:w="4414" w:type="dxa"/>
          </w:tcPr>
          <w:p w:rsidR="0083569C" w:rsidRPr="00582095" w:rsidRDefault="0083569C" w:rsidP="00F14D13">
            <w:pPr>
              <w:spacing w:line="360" w:lineRule="auto"/>
              <w:jc w:val="center"/>
              <w:rPr>
                <w:rStyle w:val="CharAttribute12"/>
                <w:rFonts w:asciiTheme="minorHAnsi" w:eastAsia="Batang" w:cs="Arial"/>
                <w:sz w:val="28"/>
                <w:szCs w:val="28"/>
              </w:rPr>
            </w:pPr>
            <w:r w:rsidRPr="00582095">
              <w:rPr>
                <w:rStyle w:val="CharAttribute12"/>
                <w:rFonts w:asciiTheme="minorHAnsi" w:eastAsia="Batang" w:cs="Arial"/>
                <w:sz w:val="28"/>
                <w:szCs w:val="28"/>
              </w:rPr>
              <w:t>DIPUTADA</w:t>
            </w:r>
          </w:p>
        </w:tc>
      </w:tr>
      <w:tr w:rsidR="0083569C" w:rsidRPr="00582095" w:rsidTr="00F14D13">
        <w:tc>
          <w:tcPr>
            <w:tcW w:w="4414" w:type="dxa"/>
          </w:tcPr>
          <w:p w:rsidR="0083569C" w:rsidRDefault="0083569C" w:rsidP="00677048">
            <w:pPr>
              <w:spacing w:after="0" w:line="240" w:lineRule="auto"/>
              <w:jc w:val="center"/>
              <w:rPr>
                <w:rStyle w:val="CharAttribute12"/>
                <w:rFonts w:asciiTheme="minorHAnsi" w:eastAsia="Batang" w:cs="Arial"/>
                <w:sz w:val="28"/>
                <w:szCs w:val="28"/>
              </w:rPr>
            </w:pPr>
          </w:p>
          <w:p w:rsidR="00F06C61" w:rsidRPr="00582095" w:rsidRDefault="00F06C61" w:rsidP="00677048">
            <w:pPr>
              <w:spacing w:after="0" w:line="240" w:lineRule="auto"/>
              <w:jc w:val="center"/>
              <w:rPr>
                <w:rStyle w:val="CharAttribute12"/>
                <w:rFonts w:asciiTheme="minorHAnsi" w:eastAsia="Batang" w:cs="Arial"/>
                <w:sz w:val="28"/>
                <w:szCs w:val="28"/>
              </w:rPr>
            </w:pPr>
          </w:p>
          <w:p w:rsidR="0083569C" w:rsidRPr="00582095" w:rsidRDefault="0083569C" w:rsidP="00677048">
            <w:pPr>
              <w:spacing w:after="0" w:line="240" w:lineRule="auto"/>
              <w:jc w:val="center"/>
              <w:rPr>
                <w:rStyle w:val="CharAttribute12"/>
                <w:rFonts w:asciiTheme="minorHAnsi" w:eastAsia="Batang" w:cs="Arial"/>
                <w:sz w:val="28"/>
                <w:szCs w:val="28"/>
              </w:rPr>
            </w:pPr>
            <w:r w:rsidRPr="00582095">
              <w:rPr>
                <w:rStyle w:val="CharAttribute12"/>
                <w:rFonts w:asciiTheme="minorHAnsi" w:eastAsia="Batang" w:cs="Arial"/>
                <w:sz w:val="28"/>
                <w:szCs w:val="28"/>
              </w:rPr>
              <w:t>__________________________</w:t>
            </w:r>
          </w:p>
          <w:p w:rsidR="0083569C" w:rsidRPr="00582095" w:rsidRDefault="0083569C" w:rsidP="00677048">
            <w:pPr>
              <w:spacing w:after="0" w:line="240" w:lineRule="auto"/>
              <w:jc w:val="center"/>
              <w:rPr>
                <w:rStyle w:val="CharAttribute12"/>
                <w:rFonts w:asciiTheme="minorHAnsi" w:eastAsia="Batang" w:cs="Arial"/>
                <w:sz w:val="28"/>
                <w:szCs w:val="28"/>
              </w:rPr>
            </w:pPr>
            <w:r w:rsidRPr="00582095">
              <w:rPr>
                <w:rStyle w:val="CharAttribute12"/>
                <w:rFonts w:asciiTheme="minorHAnsi" w:eastAsia="Batang" w:cs="Arial"/>
                <w:sz w:val="28"/>
                <w:szCs w:val="28"/>
              </w:rPr>
              <w:t>SILVIA AMÉRICA LÓPEZ ESCOFFIÉ</w:t>
            </w:r>
          </w:p>
        </w:tc>
        <w:tc>
          <w:tcPr>
            <w:tcW w:w="4414" w:type="dxa"/>
          </w:tcPr>
          <w:p w:rsidR="0083569C" w:rsidRDefault="0083569C" w:rsidP="00677048">
            <w:pPr>
              <w:spacing w:after="0" w:line="240" w:lineRule="auto"/>
              <w:rPr>
                <w:rStyle w:val="CharAttribute12"/>
                <w:rFonts w:asciiTheme="minorHAnsi" w:eastAsia="Batang" w:cs="Arial"/>
                <w:sz w:val="28"/>
                <w:szCs w:val="28"/>
              </w:rPr>
            </w:pPr>
          </w:p>
          <w:p w:rsidR="00F06C61" w:rsidRPr="00582095" w:rsidRDefault="00F06C61" w:rsidP="00677048">
            <w:pPr>
              <w:spacing w:after="0" w:line="240" w:lineRule="auto"/>
              <w:rPr>
                <w:rStyle w:val="CharAttribute12"/>
                <w:rFonts w:asciiTheme="minorHAnsi" w:eastAsia="Batang" w:cs="Arial"/>
                <w:sz w:val="28"/>
                <w:szCs w:val="28"/>
              </w:rPr>
            </w:pPr>
          </w:p>
          <w:p w:rsidR="0083569C" w:rsidRPr="00582095" w:rsidRDefault="0083569C" w:rsidP="00677048">
            <w:pPr>
              <w:spacing w:after="0" w:line="240" w:lineRule="auto"/>
              <w:jc w:val="center"/>
              <w:rPr>
                <w:rStyle w:val="CharAttribute12"/>
                <w:rFonts w:asciiTheme="minorHAnsi" w:eastAsia="Batang" w:cs="Arial"/>
                <w:sz w:val="28"/>
                <w:szCs w:val="28"/>
              </w:rPr>
            </w:pPr>
            <w:r w:rsidRPr="00582095">
              <w:rPr>
                <w:rStyle w:val="CharAttribute12"/>
                <w:rFonts w:asciiTheme="minorHAnsi" w:eastAsia="Batang" w:cs="Arial"/>
                <w:sz w:val="28"/>
                <w:szCs w:val="28"/>
              </w:rPr>
              <w:t>__________________________</w:t>
            </w:r>
          </w:p>
          <w:p w:rsidR="0083569C" w:rsidRPr="00582095" w:rsidRDefault="0083569C" w:rsidP="00677048">
            <w:pPr>
              <w:spacing w:after="0" w:line="240" w:lineRule="auto"/>
              <w:jc w:val="center"/>
              <w:rPr>
                <w:rStyle w:val="CharAttribute12"/>
                <w:rFonts w:asciiTheme="minorHAnsi" w:eastAsia="Batang" w:cs="Arial"/>
                <w:sz w:val="28"/>
                <w:szCs w:val="28"/>
              </w:rPr>
            </w:pPr>
            <w:r w:rsidRPr="00582095">
              <w:rPr>
                <w:rStyle w:val="CharAttribute12"/>
                <w:rFonts w:asciiTheme="minorHAnsi" w:eastAsia="Batang" w:cs="Arial"/>
                <w:sz w:val="28"/>
                <w:szCs w:val="28"/>
              </w:rPr>
              <w:t>MARÍA DE LOS MILAGROS ROMERO BASTARRACHEA</w:t>
            </w:r>
          </w:p>
        </w:tc>
      </w:tr>
    </w:tbl>
    <w:p w:rsidR="00A81CCD" w:rsidRDefault="00A81CCD"/>
    <w:sectPr w:rsidR="00A81CCD">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3AB" w:rsidRDefault="008913AB" w:rsidP="00E47D61">
      <w:pPr>
        <w:spacing w:after="0" w:line="240" w:lineRule="auto"/>
      </w:pPr>
      <w:r>
        <w:separator/>
      </w:r>
    </w:p>
  </w:endnote>
  <w:endnote w:type="continuationSeparator" w:id="0">
    <w:p w:rsidR="008913AB" w:rsidRDefault="008913AB" w:rsidP="00E47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4C6" w:rsidRDefault="00FB44C6" w:rsidP="00FB44C6">
    <w:pPr>
      <w:pStyle w:val="Piedepgina"/>
      <w:jc w:val="both"/>
    </w:pPr>
    <w:r>
      <w:t>Iniciativa con Proyecto de Decreto por el que se reforman y adicionan diversas disposiciones al Código Penal del Estado de Yucatán en materia de Feminicidio</w:t>
    </w:r>
  </w:p>
  <w:p w:rsidR="00E47D61" w:rsidRDefault="00E47D61" w:rsidP="00FB44C6">
    <w:pPr>
      <w:pStyle w:val="Piedepgina"/>
      <w:jc w:val="both"/>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3AB" w:rsidRDefault="008913AB" w:rsidP="00E47D61">
      <w:pPr>
        <w:spacing w:after="0" w:line="240" w:lineRule="auto"/>
      </w:pPr>
      <w:r>
        <w:separator/>
      </w:r>
    </w:p>
  </w:footnote>
  <w:footnote w:type="continuationSeparator" w:id="0">
    <w:p w:rsidR="008913AB" w:rsidRDefault="008913AB" w:rsidP="00E47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D61" w:rsidRDefault="00E47D61" w:rsidP="00E47D61">
    <w:pPr>
      <w:pStyle w:val="Encabezado"/>
      <w:jc w:val="center"/>
    </w:pPr>
    <w:r>
      <w:t>H. Congreso del Estado de Yucatán</w:t>
    </w:r>
  </w:p>
  <w:p w:rsidR="00E47D61" w:rsidRDefault="00E47D61" w:rsidP="00E47D61">
    <w:pPr>
      <w:pStyle w:val="Encabezado"/>
      <w:jc w:val="center"/>
    </w:pPr>
    <w:r>
      <w:t>LXII Legislatura</w:t>
    </w:r>
  </w:p>
  <w:p w:rsidR="00E47D61" w:rsidRDefault="00E47D61" w:rsidP="00E47D61">
    <w:pPr>
      <w:pStyle w:val="Encabezado"/>
      <w:jc w:val="center"/>
    </w:pPr>
    <w:r>
      <w:t xml:space="preserve">Fracción </w:t>
    </w:r>
    <w:r w:rsidR="00DF179D">
      <w:t>Legislativa</w:t>
    </w:r>
    <w:r>
      <w:t xml:space="preserve"> de Movimiento Ciudadano</w:t>
    </w:r>
  </w:p>
  <w:p w:rsidR="00E47D61" w:rsidRDefault="00E47D61" w:rsidP="00E47D61">
    <w:pPr>
      <w:pStyle w:val="Encabezado"/>
      <w:jc w:val="both"/>
    </w:pPr>
    <w:r>
      <w:t>________________________________________________________________________________</w:t>
    </w:r>
  </w:p>
  <w:p w:rsidR="00E47D61" w:rsidRDefault="00E47D6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556809"/>
    <w:multiLevelType w:val="hybridMultilevel"/>
    <w:tmpl w:val="EF04F3DA"/>
    <w:lvl w:ilvl="0" w:tplc="F5A0B1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D61"/>
    <w:rsid w:val="0000425B"/>
    <w:rsid w:val="00007A41"/>
    <w:rsid w:val="00025B81"/>
    <w:rsid w:val="0004112F"/>
    <w:rsid w:val="00043ACD"/>
    <w:rsid w:val="00044A97"/>
    <w:rsid w:val="00061373"/>
    <w:rsid w:val="00090E26"/>
    <w:rsid w:val="000E0043"/>
    <w:rsid w:val="000F0884"/>
    <w:rsid w:val="0010458A"/>
    <w:rsid w:val="0011623D"/>
    <w:rsid w:val="00126443"/>
    <w:rsid w:val="00136642"/>
    <w:rsid w:val="00147F76"/>
    <w:rsid w:val="001D3E83"/>
    <w:rsid w:val="001E041B"/>
    <w:rsid w:val="002644CE"/>
    <w:rsid w:val="002818F4"/>
    <w:rsid w:val="0028312E"/>
    <w:rsid w:val="00294B11"/>
    <w:rsid w:val="002B61D4"/>
    <w:rsid w:val="00344FB0"/>
    <w:rsid w:val="00357D7B"/>
    <w:rsid w:val="003C2CE8"/>
    <w:rsid w:val="003E2A0C"/>
    <w:rsid w:val="003E6BB7"/>
    <w:rsid w:val="0042401D"/>
    <w:rsid w:val="00431443"/>
    <w:rsid w:val="004B15E4"/>
    <w:rsid w:val="004C57ED"/>
    <w:rsid w:val="00503820"/>
    <w:rsid w:val="005043F7"/>
    <w:rsid w:val="00543D4A"/>
    <w:rsid w:val="00573272"/>
    <w:rsid w:val="00582095"/>
    <w:rsid w:val="0058548C"/>
    <w:rsid w:val="005A7B56"/>
    <w:rsid w:val="005B2887"/>
    <w:rsid w:val="005B28EB"/>
    <w:rsid w:val="005D7F87"/>
    <w:rsid w:val="005E0988"/>
    <w:rsid w:val="005E3D60"/>
    <w:rsid w:val="00670906"/>
    <w:rsid w:val="00677048"/>
    <w:rsid w:val="006A1AFF"/>
    <w:rsid w:val="006A3521"/>
    <w:rsid w:val="006C1F70"/>
    <w:rsid w:val="006C2E74"/>
    <w:rsid w:val="006C7232"/>
    <w:rsid w:val="006E580C"/>
    <w:rsid w:val="006E6B62"/>
    <w:rsid w:val="006F0B6E"/>
    <w:rsid w:val="006F27E9"/>
    <w:rsid w:val="00732157"/>
    <w:rsid w:val="00764C48"/>
    <w:rsid w:val="00834951"/>
    <w:rsid w:val="0083569C"/>
    <w:rsid w:val="00863661"/>
    <w:rsid w:val="00880F57"/>
    <w:rsid w:val="00881D75"/>
    <w:rsid w:val="00882251"/>
    <w:rsid w:val="008913AB"/>
    <w:rsid w:val="008A1CFD"/>
    <w:rsid w:val="008F0D4E"/>
    <w:rsid w:val="00944E99"/>
    <w:rsid w:val="0097071A"/>
    <w:rsid w:val="009977C4"/>
    <w:rsid w:val="009B143E"/>
    <w:rsid w:val="009E1F51"/>
    <w:rsid w:val="009E3A0D"/>
    <w:rsid w:val="009F01CB"/>
    <w:rsid w:val="009F3F7F"/>
    <w:rsid w:val="00A244D8"/>
    <w:rsid w:val="00A32F5E"/>
    <w:rsid w:val="00A44CAF"/>
    <w:rsid w:val="00A81CCD"/>
    <w:rsid w:val="00A820BE"/>
    <w:rsid w:val="00AD0121"/>
    <w:rsid w:val="00AE7FCD"/>
    <w:rsid w:val="00B23639"/>
    <w:rsid w:val="00B26CA7"/>
    <w:rsid w:val="00B3525C"/>
    <w:rsid w:val="00B44FA9"/>
    <w:rsid w:val="00B60250"/>
    <w:rsid w:val="00B93C10"/>
    <w:rsid w:val="00BA7DD9"/>
    <w:rsid w:val="00BB0710"/>
    <w:rsid w:val="00BB13BA"/>
    <w:rsid w:val="00BC29EC"/>
    <w:rsid w:val="00BF7198"/>
    <w:rsid w:val="00C053D7"/>
    <w:rsid w:val="00C63001"/>
    <w:rsid w:val="00C637C2"/>
    <w:rsid w:val="00C751C4"/>
    <w:rsid w:val="00C83B72"/>
    <w:rsid w:val="00C877F9"/>
    <w:rsid w:val="00C92FA9"/>
    <w:rsid w:val="00CF533F"/>
    <w:rsid w:val="00D24533"/>
    <w:rsid w:val="00D37DF2"/>
    <w:rsid w:val="00D86C95"/>
    <w:rsid w:val="00DE26CB"/>
    <w:rsid w:val="00DF179D"/>
    <w:rsid w:val="00DF4630"/>
    <w:rsid w:val="00E22D50"/>
    <w:rsid w:val="00E34762"/>
    <w:rsid w:val="00E47D61"/>
    <w:rsid w:val="00E501A5"/>
    <w:rsid w:val="00E547CC"/>
    <w:rsid w:val="00E769A9"/>
    <w:rsid w:val="00E77098"/>
    <w:rsid w:val="00E82835"/>
    <w:rsid w:val="00EA5678"/>
    <w:rsid w:val="00ED095F"/>
    <w:rsid w:val="00EE1564"/>
    <w:rsid w:val="00F06C61"/>
    <w:rsid w:val="00F238FB"/>
    <w:rsid w:val="00F245AC"/>
    <w:rsid w:val="00F33B94"/>
    <w:rsid w:val="00F36FED"/>
    <w:rsid w:val="00FA5E81"/>
    <w:rsid w:val="00FB35F0"/>
    <w:rsid w:val="00FB44C6"/>
    <w:rsid w:val="00FD27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E39BA9-26F7-4388-B036-10530A03F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D61"/>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E47D61"/>
    <w:rPr>
      <w:b/>
      <w:bCs/>
    </w:rPr>
  </w:style>
  <w:style w:type="paragraph" w:styleId="Encabezado">
    <w:name w:val="header"/>
    <w:basedOn w:val="Normal"/>
    <w:link w:val="EncabezadoCar"/>
    <w:uiPriority w:val="99"/>
    <w:unhideWhenUsed/>
    <w:rsid w:val="00E47D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7D61"/>
  </w:style>
  <w:style w:type="paragraph" w:styleId="Piedepgina">
    <w:name w:val="footer"/>
    <w:basedOn w:val="Normal"/>
    <w:link w:val="PiedepginaCar"/>
    <w:uiPriority w:val="99"/>
    <w:unhideWhenUsed/>
    <w:rsid w:val="00E47D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7D61"/>
  </w:style>
  <w:style w:type="paragraph" w:customStyle="1" w:styleId="Default">
    <w:name w:val="Default"/>
    <w:rsid w:val="00A81CCD"/>
    <w:pPr>
      <w:autoSpaceDE w:val="0"/>
      <w:autoSpaceDN w:val="0"/>
      <w:adjustRightInd w:val="0"/>
      <w:spacing w:after="0" w:line="240" w:lineRule="auto"/>
    </w:pPr>
    <w:rPr>
      <w:rFonts w:ascii="Calibri" w:hAnsi="Calibri" w:cs="Calibri"/>
      <w:color w:val="000000"/>
      <w:sz w:val="24"/>
      <w:szCs w:val="24"/>
    </w:rPr>
  </w:style>
  <w:style w:type="character" w:customStyle="1" w:styleId="A2">
    <w:name w:val="A2"/>
    <w:uiPriority w:val="99"/>
    <w:rsid w:val="006A1AFF"/>
    <w:rPr>
      <w:rFonts w:cs="Calibri"/>
      <w:color w:val="000000"/>
      <w:sz w:val="22"/>
      <w:szCs w:val="22"/>
    </w:rPr>
  </w:style>
  <w:style w:type="paragraph" w:customStyle="1" w:styleId="fonttertiary">
    <w:name w:val="font_tertiary"/>
    <w:basedOn w:val="Normal"/>
    <w:rsid w:val="00147F7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A44CA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decuadrcula6concolores-nfasis21">
    <w:name w:val="Tabla de cuadrícula 6 con colores - Énfasis 21"/>
    <w:basedOn w:val="Tablanormal"/>
    <w:uiPriority w:val="51"/>
    <w:rsid w:val="00294B11"/>
    <w:pPr>
      <w:spacing w:after="0" w:line="240" w:lineRule="auto"/>
    </w:pPr>
    <w:rPr>
      <w:color w:val="C45911" w:themeColor="accent2" w:themeShade="BF"/>
      <w:lang w:val="es-E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CharAttribute12">
    <w:name w:val="CharAttribute12"/>
    <w:rsid w:val="0083569C"/>
    <w:rPr>
      <w:rFonts w:ascii="Arial" w:eastAsia="Times New Roman"/>
      <w:b/>
      <w:sz w:val="32"/>
    </w:rPr>
  </w:style>
  <w:style w:type="table" w:styleId="Tablaconcuadrcula">
    <w:name w:val="Table Grid"/>
    <w:basedOn w:val="Tablanormal"/>
    <w:uiPriority w:val="39"/>
    <w:rsid w:val="00835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E3A0D"/>
    <w:pPr>
      <w:ind w:left="720"/>
      <w:contextualSpacing/>
    </w:pPr>
  </w:style>
  <w:style w:type="paragraph" w:styleId="Textodeglobo">
    <w:name w:val="Balloon Text"/>
    <w:basedOn w:val="Normal"/>
    <w:link w:val="TextodegloboCar"/>
    <w:uiPriority w:val="99"/>
    <w:semiHidden/>
    <w:unhideWhenUsed/>
    <w:rsid w:val="0006137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13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86050">
      <w:bodyDiv w:val="1"/>
      <w:marLeft w:val="0"/>
      <w:marRight w:val="0"/>
      <w:marTop w:val="0"/>
      <w:marBottom w:val="0"/>
      <w:divBdr>
        <w:top w:val="none" w:sz="0" w:space="0" w:color="auto"/>
        <w:left w:val="none" w:sz="0" w:space="0" w:color="auto"/>
        <w:bottom w:val="none" w:sz="0" w:space="0" w:color="auto"/>
        <w:right w:val="none" w:sz="0" w:space="0" w:color="auto"/>
      </w:divBdr>
    </w:div>
    <w:div w:id="633218108">
      <w:bodyDiv w:val="1"/>
      <w:marLeft w:val="0"/>
      <w:marRight w:val="0"/>
      <w:marTop w:val="0"/>
      <w:marBottom w:val="0"/>
      <w:divBdr>
        <w:top w:val="none" w:sz="0" w:space="0" w:color="auto"/>
        <w:left w:val="none" w:sz="0" w:space="0" w:color="auto"/>
        <w:bottom w:val="none" w:sz="0" w:space="0" w:color="auto"/>
        <w:right w:val="none" w:sz="0" w:space="0" w:color="auto"/>
      </w:divBdr>
    </w:div>
    <w:div w:id="159832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3C28C-251D-4693-8D5B-5F448C060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1790</Words>
  <Characters>9851</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Comunicacion</dc:creator>
  <cp:lastModifiedBy>Delmy Cruz</cp:lastModifiedBy>
  <cp:revision>2</cp:revision>
  <cp:lastPrinted>2020-09-09T15:49:00Z</cp:lastPrinted>
  <dcterms:created xsi:type="dcterms:W3CDTF">2021-08-20T17:48:00Z</dcterms:created>
  <dcterms:modified xsi:type="dcterms:W3CDTF">2021-08-20T17:48:00Z</dcterms:modified>
</cp:coreProperties>
</file>